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06B1" w:rsidRPr="00271450" w:rsidRDefault="004D06B1" w:rsidP="008F0B41">
      <w:pPr>
        <w:spacing w:after="120" w:line="360" w:lineRule="auto"/>
        <w:jc w:val="center"/>
        <w:rPr>
          <w:rFonts w:ascii="FrankRuehl" w:hAnsi="FrankRuehl" w:cs="FrankRuehl"/>
          <w:color w:val="000000" w:themeColor="text1"/>
          <w:sz w:val="32"/>
          <w:szCs w:val="32"/>
          <w:u w:val="single"/>
          <w:rtl/>
        </w:rPr>
      </w:pPr>
      <w:r w:rsidRPr="00271450">
        <w:rPr>
          <w:rFonts w:ascii="FrankRuehl" w:hAnsi="FrankRuehl" w:cs="FrankRuehl"/>
          <w:color w:val="000000" w:themeColor="text1"/>
          <w:sz w:val="32"/>
          <w:szCs w:val="32"/>
          <w:u w:val="single"/>
          <w:rtl/>
        </w:rPr>
        <w:t>תקציר</w:t>
      </w:r>
      <w:r w:rsidR="00630366" w:rsidRPr="00271450">
        <w:rPr>
          <w:rFonts w:ascii="FrankRuehl" w:hAnsi="FrankRuehl" w:cs="FrankRuehl"/>
          <w:color w:val="000000" w:themeColor="text1"/>
          <w:sz w:val="32"/>
          <w:szCs w:val="32"/>
          <w:u w:val="single"/>
          <w:rtl/>
        </w:rPr>
        <w:t xml:space="preserve"> </w:t>
      </w:r>
      <w:r w:rsidR="008F0B41" w:rsidRPr="00271450">
        <w:rPr>
          <w:rFonts w:ascii="FrankRuehl" w:hAnsi="FrankRuehl" w:cs="FrankRuehl" w:hint="cs"/>
          <w:color w:val="000000" w:themeColor="text1"/>
          <w:sz w:val="32"/>
          <w:szCs w:val="32"/>
          <w:u w:val="single"/>
          <w:rtl/>
        </w:rPr>
        <w:t>פסק דין</w:t>
      </w:r>
    </w:p>
    <w:p w:rsidR="008F0B41" w:rsidRPr="00271450" w:rsidRDefault="008F0B41" w:rsidP="009F00A1">
      <w:pPr>
        <w:spacing w:after="120"/>
        <w:jc w:val="center"/>
        <w:rPr>
          <w:rFonts w:ascii="FrankRuehl" w:hAnsi="FrankRuehl" w:cs="FrankRuehl"/>
          <w:color w:val="000000" w:themeColor="text1"/>
          <w:sz w:val="32"/>
          <w:szCs w:val="32"/>
          <w:rtl/>
        </w:rPr>
      </w:pPr>
      <w:r w:rsidRPr="00271450">
        <w:rPr>
          <w:rFonts w:ascii="FrankRuehl" w:hAnsi="FrankRuehl" w:cs="FrankRuehl" w:hint="cs"/>
          <w:b/>
          <w:bCs/>
          <w:color w:val="000000" w:themeColor="text1"/>
          <w:sz w:val="32"/>
          <w:szCs w:val="32"/>
          <w:rtl/>
        </w:rPr>
        <w:t xml:space="preserve">                                                                      </w:t>
      </w:r>
      <w:r w:rsidRPr="00271450">
        <w:rPr>
          <w:rFonts w:ascii="FrankRuehl" w:hAnsi="FrankRuehl" w:cs="FrankRuehl" w:hint="cs"/>
          <w:color w:val="000000" w:themeColor="text1"/>
          <w:sz w:val="32"/>
          <w:szCs w:val="32"/>
          <w:rtl/>
        </w:rPr>
        <w:t>בג"ץ 3030/23</w:t>
      </w:r>
    </w:p>
    <w:tbl>
      <w:tblPr>
        <w:bidiVisual/>
        <w:tblW w:w="8364" w:type="dxa"/>
        <w:tblLayout w:type="fixed"/>
        <w:tblLook w:val="0000" w:firstRow="0" w:lastRow="0" w:firstColumn="0" w:lastColumn="0" w:noHBand="0" w:noVBand="0"/>
      </w:tblPr>
      <w:tblGrid>
        <w:gridCol w:w="3210"/>
        <w:gridCol w:w="5154"/>
      </w:tblGrid>
      <w:tr w:rsidR="008F0B41" w:rsidTr="000914D4">
        <w:trPr>
          <w:trHeight w:val="287"/>
        </w:trPr>
        <w:tc>
          <w:tcPr>
            <w:tcW w:w="3261" w:type="dxa"/>
          </w:tcPr>
          <w:p w:rsidR="008F0B41" w:rsidRDefault="008F0B41" w:rsidP="000914D4">
            <w:pPr>
              <w:pStyle w:val="BodyRuller"/>
              <w:rPr>
                <w:rFonts w:cs="Miriam"/>
                <w:b/>
                <w:bCs/>
                <w:u w:val="single"/>
              </w:rPr>
            </w:pPr>
            <w:r>
              <w:rPr>
                <w:rFonts w:hint="cs"/>
                <w:rtl/>
              </w:rPr>
              <w:t>ל</w:t>
            </w:r>
            <w:r>
              <w:rPr>
                <w:rtl/>
              </w:rPr>
              <w:t>פני:</w:t>
            </w:r>
            <w:r>
              <w:rPr>
                <w:rtl/>
              </w:rPr>
              <w:tab/>
            </w:r>
          </w:p>
        </w:tc>
        <w:tc>
          <w:tcPr>
            <w:tcW w:w="5239" w:type="dxa"/>
          </w:tcPr>
          <w:p w:rsidR="008F0B41" w:rsidRDefault="008F0B41" w:rsidP="000914D4">
            <w:pPr>
              <w:pStyle w:val="BodyRuller"/>
            </w:pPr>
            <w:r>
              <w:rPr>
                <w:rtl/>
              </w:rPr>
              <w:t>כבוד השופט י' עמית</w:t>
            </w:r>
          </w:p>
        </w:tc>
      </w:tr>
      <w:tr w:rsidR="008F0B41" w:rsidTr="000914D4">
        <w:trPr>
          <w:trHeight w:val="287"/>
        </w:trPr>
        <w:tc>
          <w:tcPr>
            <w:tcW w:w="3261" w:type="dxa"/>
          </w:tcPr>
          <w:p w:rsidR="008F0B41" w:rsidRDefault="008F0B41" w:rsidP="000914D4">
            <w:pPr>
              <w:pStyle w:val="BodyRuller"/>
              <w:rPr>
                <w:rtl/>
              </w:rPr>
            </w:pPr>
          </w:p>
        </w:tc>
        <w:tc>
          <w:tcPr>
            <w:tcW w:w="5239" w:type="dxa"/>
          </w:tcPr>
          <w:p w:rsidR="008F0B41" w:rsidRDefault="008F0B41" w:rsidP="000914D4">
            <w:pPr>
              <w:pStyle w:val="BodyRuller"/>
              <w:rPr>
                <w:rtl/>
              </w:rPr>
            </w:pPr>
            <w:r>
              <w:rPr>
                <w:rtl/>
              </w:rPr>
              <w:t>כבוד השופטת י' וילנר</w:t>
            </w:r>
          </w:p>
        </w:tc>
      </w:tr>
      <w:tr w:rsidR="008F0B41" w:rsidTr="000914D4">
        <w:trPr>
          <w:trHeight w:val="287"/>
        </w:trPr>
        <w:tc>
          <w:tcPr>
            <w:tcW w:w="3261" w:type="dxa"/>
          </w:tcPr>
          <w:p w:rsidR="008F0B41" w:rsidRDefault="008F0B41" w:rsidP="000914D4">
            <w:pPr>
              <w:pStyle w:val="BodyRuller"/>
              <w:rPr>
                <w:rtl/>
              </w:rPr>
            </w:pPr>
          </w:p>
        </w:tc>
        <w:tc>
          <w:tcPr>
            <w:tcW w:w="5239" w:type="dxa"/>
          </w:tcPr>
          <w:p w:rsidR="008F0B41" w:rsidRDefault="008F0B41" w:rsidP="000914D4">
            <w:pPr>
              <w:pStyle w:val="BodyRuller"/>
              <w:rPr>
                <w:rtl/>
              </w:rPr>
            </w:pPr>
            <w:r>
              <w:rPr>
                <w:rtl/>
              </w:rPr>
              <w:t>כבוד השופט א' שטיין</w:t>
            </w:r>
          </w:p>
        </w:tc>
      </w:tr>
    </w:tbl>
    <w:p w:rsidR="008F0B41" w:rsidRDefault="008F0B41" w:rsidP="008F0B41">
      <w:pPr>
        <w:pStyle w:val="Ruller3"/>
        <w:rPr>
          <w:rFonts w:cs="Miriam"/>
          <w:b/>
          <w:bCs/>
          <w:u w:val="single"/>
          <w:rtl/>
        </w:rPr>
      </w:pPr>
    </w:p>
    <w:tbl>
      <w:tblPr>
        <w:bidiVisual/>
        <w:tblW w:w="8364" w:type="dxa"/>
        <w:tblLayout w:type="fixed"/>
        <w:tblLook w:val="0000" w:firstRow="0" w:lastRow="0" w:firstColumn="0" w:lastColumn="0" w:noHBand="0" w:noVBand="0"/>
      </w:tblPr>
      <w:tblGrid>
        <w:gridCol w:w="3210"/>
        <w:gridCol w:w="5154"/>
      </w:tblGrid>
      <w:tr w:rsidR="008F0B41" w:rsidTr="000914D4">
        <w:trPr>
          <w:trHeight w:val="287"/>
        </w:trPr>
        <w:tc>
          <w:tcPr>
            <w:tcW w:w="3261" w:type="dxa"/>
          </w:tcPr>
          <w:p w:rsidR="008F0B41" w:rsidRPr="00E75223" w:rsidRDefault="008F0B41" w:rsidP="000914D4">
            <w:pPr>
              <w:pStyle w:val="BodyRuller"/>
              <w:rPr>
                <w:rFonts w:ascii="David" w:hAnsi="David"/>
              </w:rPr>
            </w:pPr>
            <w:r>
              <w:rPr>
                <w:rFonts w:ascii="David" w:hAnsi="David"/>
                <w:rtl/>
              </w:rPr>
              <w:t>העותרים:</w:t>
            </w:r>
          </w:p>
        </w:tc>
        <w:tc>
          <w:tcPr>
            <w:tcW w:w="5239" w:type="dxa"/>
          </w:tcPr>
          <w:p w:rsidR="008F0B41" w:rsidRDefault="008F0B41" w:rsidP="000914D4">
            <w:pPr>
              <w:pStyle w:val="BodyRuller"/>
            </w:pPr>
            <w:r>
              <w:rPr>
                <w:rtl/>
              </w:rPr>
              <w:t>1. לוחמים לשלום</w:t>
            </w:r>
          </w:p>
        </w:tc>
      </w:tr>
      <w:tr w:rsidR="008F0B41" w:rsidTr="000914D4">
        <w:trPr>
          <w:trHeight w:val="287"/>
        </w:trPr>
        <w:tc>
          <w:tcPr>
            <w:tcW w:w="3261" w:type="dxa"/>
          </w:tcPr>
          <w:p w:rsidR="008F0B41" w:rsidRDefault="008F0B41" w:rsidP="000914D4">
            <w:pPr>
              <w:pStyle w:val="BodyRuller"/>
              <w:rPr>
                <w:rFonts w:ascii="David" w:hAnsi="David"/>
                <w:rtl/>
              </w:rPr>
            </w:pPr>
          </w:p>
        </w:tc>
        <w:tc>
          <w:tcPr>
            <w:tcW w:w="5239" w:type="dxa"/>
          </w:tcPr>
          <w:p w:rsidR="008F0B41" w:rsidRDefault="008F0B41" w:rsidP="000914D4">
            <w:pPr>
              <w:pStyle w:val="BodyRuller"/>
              <w:rPr>
                <w:rtl/>
              </w:rPr>
            </w:pPr>
            <w:r>
              <w:rPr>
                <w:rtl/>
              </w:rPr>
              <w:t>2. חוג ההורים - פורום המשפחות,</w:t>
            </w:r>
            <w:r>
              <w:rPr>
                <w:rFonts w:hint="cs"/>
                <w:rtl/>
              </w:rPr>
              <w:t xml:space="preserve"> </w:t>
            </w:r>
            <w:r>
              <w:rPr>
                <w:rtl/>
              </w:rPr>
              <w:t>משפחות שכולות למען שלום</w:t>
            </w:r>
            <w:r>
              <w:rPr>
                <w:rFonts w:hint="cs"/>
                <w:rtl/>
              </w:rPr>
              <w:t>, פיוס וסובלנות</w:t>
            </w:r>
          </w:p>
        </w:tc>
      </w:tr>
    </w:tbl>
    <w:p w:rsidR="008F0B41" w:rsidRDefault="008F0B41" w:rsidP="008F0B41">
      <w:pPr>
        <w:pStyle w:val="Ruller3"/>
        <w:spacing w:line="240" w:lineRule="auto"/>
      </w:pPr>
    </w:p>
    <w:tbl>
      <w:tblPr>
        <w:bidiVisual/>
        <w:tblW w:w="8363" w:type="dxa"/>
        <w:tblLook w:val="0000" w:firstRow="0" w:lastRow="0" w:firstColumn="0" w:lastColumn="0" w:noHBand="0" w:noVBand="0"/>
      </w:tblPr>
      <w:tblGrid>
        <w:gridCol w:w="3222"/>
        <w:gridCol w:w="5141"/>
      </w:tblGrid>
      <w:tr w:rsidR="008F0B41" w:rsidTr="000914D4">
        <w:tc>
          <w:tcPr>
            <w:tcW w:w="3284" w:type="dxa"/>
          </w:tcPr>
          <w:p w:rsidR="008F0B41" w:rsidRDefault="008F0B41" w:rsidP="000914D4">
            <w:pPr>
              <w:pStyle w:val="BodyRuller"/>
            </w:pPr>
          </w:p>
        </w:tc>
        <w:tc>
          <w:tcPr>
            <w:tcW w:w="5238" w:type="dxa"/>
          </w:tcPr>
          <w:p w:rsidR="008F0B41" w:rsidRDefault="008F0B41" w:rsidP="000914D4">
            <w:pPr>
              <w:pStyle w:val="BodyRuller"/>
            </w:pPr>
            <w:r>
              <w:rPr>
                <w:rFonts w:hint="cs"/>
                <w:rtl/>
              </w:rPr>
              <w:t>נ</w:t>
            </w:r>
            <w:r>
              <w:t xml:space="preserve">  </w:t>
            </w:r>
            <w:r>
              <w:rPr>
                <w:rFonts w:hint="cs"/>
                <w:rtl/>
              </w:rPr>
              <w:t>ג</w:t>
            </w:r>
            <w:r>
              <w:t xml:space="preserve">  </w:t>
            </w:r>
            <w:r>
              <w:rPr>
                <w:rFonts w:hint="cs"/>
                <w:rtl/>
              </w:rPr>
              <w:t>ד</w:t>
            </w:r>
          </w:p>
        </w:tc>
      </w:tr>
    </w:tbl>
    <w:p w:rsidR="008F0B41" w:rsidRDefault="008F0B41" w:rsidP="008F0B41">
      <w:pPr>
        <w:pStyle w:val="Ruller3"/>
        <w:spacing w:line="240" w:lineRule="auto"/>
        <w:rPr>
          <w:rtl/>
        </w:rPr>
      </w:pPr>
    </w:p>
    <w:tbl>
      <w:tblPr>
        <w:bidiVisual/>
        <w:tblW w:w="8364" w:type="dxa"/>
        <w:tblLayout w:type="fixed"/>
        <w:tblLook w:val="0000" w:firstRow="0" w:lastRow="0" w:firstColumn="0" w:lastColumn="0" w:noHBand="0" w:noVBand="0"/>
      </w:tblPr>
      <w:tblGrid>
        <w:gridCol w:w="3210"/>
        <w:gridCol w:w="5154"/>
      </w:tblGrid>
      <w:tr w:rsidR="008F0B41" w:rsidTr="008F0B41">
        <w:trPr>
          <w:trHeight w:val="287"/>
        </w:trPr>
        <w:tc>
          <w:tcPr>
            <w:tcW w:w="3210" w:type="dxa"/>
          </w:tcPr>
          <w:p w:rsidR="008F0B41" w:rsidRPr="00E75223" w:rsidRDefault="008F0B41" w:rsidP="000914D4">
            <w:pPr>
              <w:pStyle w:val="BodyRuller"/>
              <w:rPr>
                <w:rFonts w:ascii="David" w:hAnsi="David"/>
              </w:rPr>
            </w:pPr>
            <w:r>
              <w:rPr>
                <w:rFonts w:ascii="David" w:hAnsi="David"/>
                <w:rtl/>
              </w:rPr>
              <w:t>המשיבים:</w:t>
            </w:r>
          </w:p>
        </w:tc>
        <w:tc>
          <w:tcPr>
            <w:tcW w:w="5154" w:type="dxa"/>
          </w:tcPr>
          <w:p w:rsidR="008F0B41" w:rsidRDefault="008F0B41" w:rsidP="000914D4">
            <w:pPr>
              <w:pStyle w:val="BodyRuller"/>
            </w:pPr>
            <w:r>
              <w:rPr>
                <w:rtl/>
              </w:rPr>
              <w:t>1. שר הביטחון</w:t>
            </w:r>
          </w:p>
        </w:tc>
      </w:tr>
      <w:tr w:rsidR="008F0B41" w:rsidTr="008F0B41">
        <w:trPr>
          <w:trHeight w:val="287"/>
        </w:trPr>
        <w:tc>
          <w:tcPr>
            <w:tcW w:w="3210" w:type="dxa"/>
          </w:tcPr>
          <w:p w:rsidR="008F0B41" w:rsidRDefault="008F0B41" w:rsidP="000914D4">
            <w:pPr>
              <w:pStyle w:val="BodyRuller"/>
              <w:rPr>
                <w:rFonts w:ascii="David" w:hAnsi="David"/>
                <w:rtl/>
              </w:rPr>
            </w:pPr>
          </w:p>
        </w:tc>
        <w:tc>
          <w:tcPr>
            <w:tcW w:w="5154" w:type="dxa"/>
          </w:tcPr>
          <w:p w:rsidR="008F0B41" w:rsidRDefault="008F0B41" w:rsidP="000914D4">
            <w:pPr>
              <w:pStyle w:val="BodyRuller"/>
              <w:rPr>
                <w:rtl/>
              </w:rPr>
            </w:pPr>
            <w:r>
              <w:rPr>
                <w:rtl/>
              </w:rPr>
              <w:t>2. המפקד הצבאי לאזור הגדה המערבית</w:t>
            </w:r>
          </w:p>
        </w:tc>
      </w:tr>
      <w:tr w:rsidR="008F0B41" w:rsidTr="008F0B41">
        <w:trPr>
          <w:trHeight w:val="287"/>
        </w:trPr>
        <w:tc>
          <w:tcPr>
            <w:tcW w:w="3210" w:type="dxa"/>
          </w:tcPr>
          <w:p w:rsidR="008F0B41" w:rsidRDefault="008F0B41" w:rsidP="000914D4">
            <w:pPr>
              <w:pStyle w:val="BodyRuller"/>
              <w:rPr>
                <w:rFonts w:ascii="David" w:hAnsi="David"/>
                <w:rtl/>
              </w:rPr>
            </w:pPr>
          </w:p>
        </w:tc>
        <w:tc>
          <w:tcPr>
            <w:tcW w:w="5154" w:type="dxa"/>
          </w:tcPr>
          <w:p w:rsidR="008F0B41" w:rsidRDefault="008F0B41" w:rsidP="000914D4">
            <w:pPr>
              <w:pStyle w:val="BodyRuller"/>
              <w:rPr>
                <w:rtl/>
              </w:rPr>
            </w:pPr>
            <w:r>
              <w:rPr>
                <w:rtl/>
              </w:rPr>
              <w:t>3. המ</w:t>
            </w:r>
            <w:r>
              <w:rPr>
                <w:rFonts w:hint="cs"/>
                <w:rtl/>
              </w:rPr>
              <w:t>י</w:t>
            </w:r>
            <w:r>
              <w:rPr>
                <w:rtl/>
              </w:rPr>
              <w:t>נהל האזרחי לאזור יהודה ושומרון</w:t>
            </w:r>
          </w:p>
        </w:tc>
      </w:tr>
    </w:tbl>
    <w:p w:rsidR="008F0B41" w:rsidRPr="008F0B41" w:rsidRDefault="008F0B41" w:rsidP="008F0B41">
      <w:pPr>
        <w:tabs>
          <w:tab w:val="left" w:pos="800"/>
        </w:tabs>
        <w:overflowPunct w:val="0"/>
        <w:autoSpaceDE w:val="0"/>
        <w:autoSpaceDN w:val="0"/>
        <w:adjustRightInd w:val="0"/>
        <w:spacing w:line="360" w:lineRule="auto"/>
        <w:jc w:val="both"/>
        <w:textAlignment w:val="baseline"/>
        <w:rPr>
          <w:rFonts w:ascii="Arial TUR" w:hAnsi="Arial TUR" w:cs="FrankRuehl"/>
          <w:noProof w:val="0"/>
          <w:spacing w:val="10"/>
          <w:sz w:val="22"/>
          <w:szCs w:val="28"/>
          <w:rtl/>
        </w:rPr>
      </w:pPr>
    </w:p>
    <w:p w:rsidR="008F0B41" w:rsidRPr="008F0B41" w:rsidRDefault="008F0B41" w:rsidP="008F0B41">
      <w:pPr>
        <w:tabs>
          <w:tab w:val="left" w:pos="800"/>
        </w:tabs>
        <w:overflowPunct w:val="0"/>
        <w:autoSpaceDE w:val="0"/>
        <w:autoSpaceDN w:val="0"/>
        <w:adjustRightInd w:val="0"/>
        <w:spacing w:line="360" w:lineRule="auto"/>
        <w:jc w:val="both"/>
        <w:textAlignment w:val="baseline"/>
        <w:rPr>
          <w:rFonts w:ascii="Arial TUR" w:hAnsi="Arial TUR" w:cs="FrankRuehl"/>
          <w:noProof w:val="0"/>
          <w:spacing w:val="10"/>
          <w:sz w:val="22"/>
          <w:szCs w:val="28"/>
          <w:rtl/>
        </w:rPr>
      </w:pPr>
      <w:r w:rsidRPr="008F0B41">
        <w:rPr>
          <w:rFonts w:ascii="Arial TUR" w:hAnsi="Arial TUR" w:cs="FrankRuehl" w:hint="cs"/>
          <w:b/>
          <w:bCs/>
          <w:noProof w:val="0"/>
          <w:spacing w:val="10"/>
          <w:sz w:val="22"/>
          <w:szCs w:val="28"/>
          <w:rtl/>
        </w:rPr>
        <w:t xml:space="preserve">בית המשפט העליון (השופטים י' עמית; י' וילנר; א' שטיין) קיבל פה אחד עתירה נגד החלטת שר הביטחון לסרב באופן גורף כניסתם של כמאה חמישים </w:t>
      </w:r>
      <w:r w:rsidRPr="008F0B41">
        <w:rPr>
          <w:rFonts w:ascii="Arial TUR" w:hAnsi="Arial TUR" w:cs="FrankRuehl"/>
          <w:b/>
          <w:bCs/>
          <w:noProof w:val="0"/>
          <w:spacing w:val="10"/>
          <w:sz w:val="22"/>
          <w:szCs w:val="28"/>
          <w:rtl/>
        </w:rPr>
        <w:t xml:space="preserve">פלסטינים תושבי </w:t>
      </w:r>
      <w:proofErr w:type="spellStart"/>
      <w:r w:rsidRPr="008F0B41">
        <w:rPr>
          <w:rFonts w:ascii="Arial TUR" w:hAnsi="Arial TUR" w:cs="FrankRuehl"/>
          <w:b/>
          <w:bCs/>
          <w:noProof w:val="0"/>
          <w:spacing w:val="10"/>
          <w:sz w:val="22"/>
          <w:szCs w:val="28"/>
          <w:rtl/>
        </w:rPr>
        <w:t>איו"ש</w:t>
      </w:r>
      <w:proofErr w:type="spellEnd"/>
      <w:r w:rsidRPr="008F0B41">
        <w:rPr>
          <w:rFonts w:ascii="Arial TUR" w:hAnsi="Arial TUR" w:cs="FrankRuehl"/>
          <w:b/>
          <w:bCs/>
          <w:noProof w:val="0"/>
          <w:spacing w:val="10"/>
          <w:sz w:val="22"/>
          <w:szCs w:val="28"/>
          <w:rtl/>
        </w:rPr>
        <w:t xml:space="preserve"> לשטח ישראל, </w:t>
      </w:r>
      <w:r w:rsidRPr="008F0B41">
        <w:rPr>
          <w:rFonts w:ascii="Arial TUR" w:hAnsi="Arial TUR" w:cs="FrankRuehl" w:hint="eastAsia"/>
          <w:b/>
          <w:bCs/>
          <w:noProof w:val="0"/>
          <w:spacing w:val="10"/>
          <w:sz w:val="22"/>
          <w:szCs w:val="28"/>
          <w:rtl/>
        </w:rPr>
        <w:t>לצורך</w:t>
      </w:r>
      <w:r w:rsidRPr="008F0B41">
        <w:rPr>
          <w:rFonts w:ascii="Arial TUR" w:hAnsi="Arial TUR" w:cs="FrankRuehl"/>
          <w:b/>
          <w:bCs/>
          <w:noProof w:val="0"/>
          <w:spacing w:val="10"/>
          <w:sz w:val="22"/>
          <w:szCs w:val="28"/>
          <w:rtl/>
        </w:rPr>
        <w:t xml:space="preserve"> </w:t>
      </w:r>
      <w:r w:rsidRPr="008F0B41">
        <w:rPr>
          <w:rFonts w:ascii="Arial TUR" w:hAnsi="Arial TUR" w:cs="FrankRuehl" w:hint="eastAsia"/>
          <w:b/>
          <w:bCs/>
          <w:noProof w:val="0"/>
          <w:spacing w:val="10"/>
          <w:sz w:val="22"/>
          <w:szCs w:val="28"/>
          <w:rtl/>
        </w:rPr>
        <w:t>השתתפותם</w:t>
      </w:r>
      <w:r w:rsidRPr="008F0B41">
        <w:rPr>
          <w:rFonts w:ascii="Arial TUR" w:hAnsi="Arial TUR" w:cs="FrankRuehl"/>
          <w:b/>
          <w:bCs/>
          <w:noProof w:val="0"/>
          <w:spacing w:val="10"/>
          <w:sz w:val="22"/>
          <w:szCs w:val="28"/>
          <w:rtl/>
        </w:rPr>
        <w:t xml:space="preserve"> בטקס זיכרון משותף לישראלים ולפלסטינים שיערך בערב יום הזיכרון תשפ"ג. </w:t>
      </w:r>
      <w:r w:rsidRPr="008F0B41">
        <w:rPr>
          <w:rFonts w:ascii="Arial TUR" w:hAnsi="Arial TUR" w:cs="FrankRuehl" w:hint="eastAsia"/>
          <w:b/>
          <w:bCs/>
          <w:noProof w:val="0"/>
          <w:spacing w:val="10"/>
          <w:sz w:val="22"/>
          <w:szCs w:val="28"/>
          <w:rtl/>
        </w:rPr>
        <w:t>נקבע</w:t>
      </w:r>
      <w:r w:rsidRPr="008F0B41">
        <w:rPr>
          <w:rFonts w:ascii="Arial TUR" w:hAnsi="Arial TUR" w:cs="FrankRuehl"/>
          <w:b/>
          <w:bCs/>
          <w:noProof w:val="0"/>
          <w:spacing w:val="10"/>
          <w:sz w:val="22"/>
          <w:szCs w:val="28"/>
          <w:rtl/>
        </w:rPr>
        <w:t xml:space="preserve"> </w:t>
      </w:r>
      <w:r w:rsidRPr="008F0B41">
        <w:rPr>
          <w:rFonts w:ascii="Arial TUR" w:hAnsi="Arial TUR" w:cs="FrankRuehl" w:hint="eastAsia"/>
          <w:b/>
          <w:bCs/>
          <w:noProof w:val="0"/>
          <w:spacing w:val="10"/>
          <w:sz w:val="22"/>
          <w:szCs w:val="28"/>
          <w:rtl/>
        </w:rPr>
        <w:t>כי</w:t>
      </w:r>
      <w:r w:rsidRPr="008F0B41">
        <w:rPr>
          <w:rFonts w:ascii="Arial TUR" w:hAnsi="Arial TUR" w:cs="FrankRuehl" w:hint="cs"/>
          <w:noProof w:val="0"/>
          <w:spacing w:val="10"/>
          <w:sz w:val="22"/>
          <w:szCs w:val="28"/>
          <w:rtl/>
        </w:rPr>
        <w:t xml:space="preserve"> </w:t>
      </w:r>
      <w:r w:rsidRPr="008F0B41">
        <w:rPr>
          <w:rFonts w:ascii="Arial TUR" w:hAnsi="Arial TUR" w:cs="FrankRuehl" w:hint="cs"/>
          <w:b/>
          <w:bCs/>
          <w:noProof w:val="0"/>
          <w:spacing w:val="10"/>
          <w:sz w:val="22"/>
          <w:szCs w:val="28"/>
          <w:rtl/>
        </w:rPr>
        <w:t xml:space="preserve">יש לאפשר </w:t>
      </w:r>
      <w:r w:rsidRPr="008F0B41">
        <w:rPr>
          <w:rFonts w:ascii="Arial TUR" w:hAnsi="Arial TUR" w:cs="FrankRuehl"/>
          <w:b/>
          <w:bCs/>
          <w:noProof w:val="0"/>
          <w:spacing w:val="10"/>
          <w:sz w:val="22"/>
          <w:szCs w:val="28"/>
          <w:rtl/>
        </w:rPr>
        <w:t>מתן היתרי כניסה לישראל</w:t>
      </w:r>
      <w:r w:rsidRPr="008F0B41">
        <w:rPr>
          <w:rFonts w:ascii="Arial TUR" w:hAnsi="Arial TUR" w:cs="FrankRuehl" w:hint="cs"/>
          <w:b/>
          <w:bCs/>
          <w:noProof w:val="0"/>
          <w:spacing w:val="10"/>
          <w:sz w:val="22"/>
          <w:szCs w:val="28"/>
          <w:rtl/>
        </w:rPr>
        <w:t>,</w:t>
      </w:r>
      <w:r w:rsidRPr="008F0B41">
        <w:rPr>
          <w:rFonts w:ascii="Arial TUR" w:hAnsi="Arial TUR" w:cs="FrankRuehl"/>
          <w:b/>
          <w:bCs/>
          <w:noProof w:val="0"/>
          <w:spacing w:val="10"/>
          <w:sz w:val="22"/>
          <w:szCs w:val="28"/>
          <w:rtl/>
        </w:rPr>
        <w:t xml:space="preserve"> </w:t>
      </w:r>
      <w:r w:rsidRPr="008F0B41">
        <w:rPr>
          <w:rFonts w:ascii="Arial TUR" w:hAnsi="Arial TUR" w:cs="FrankRuehl" w:hint="cs"/>
          <w:b/>
          <w:bCs/>
          <w:noProof w:val="0"/>
          <w:spacing w:val="10"/>
          <w:sz w:val="22"/>
          <w:szCs w:val="28"/>
          <w:rtl/>
        </w:rPr>
        <w:t xml:space="preserve">בכפוף לבדיקה פרטנית ולהיעדר </w:t>
      </w:r>
      <w:r w:rsidRPr="008F0B41">
        <w:rPr>
          <w:rFonts w:ascii="Arial TUR" w:hAnsi="Arial TUR" w:cs="FrankRuehl"/>
          <w:b/>
          <w:bCs/>
          <w:noProof w:val="0"/>
          <w:spacing w:val="10"/>
          <w:sz w:val="22"/>
          <w:szCs w:val="28"/>
          <w:rtl/>
        </w:rPr>
        <w:t>מניעה ביטחונית לכניסתו של מי מ</w:t>
      </w:r>
      <w:r w:rsidRPr="008F0B41">
        <w:rPr>
          <w:rFonts w:ascii="Arial TUR" w:hAnsi="Arial TUR" w:cs="FrankRuehl" w:hint="cs"/>
          <w:b/>
          <w:bCs/>
          <w:noProof w:val="0"/>
          <w:spacing w:val="10"/>
          <w:sz w:val="22"/>
          <w:szCs w:val="28"/>
          <w:rtl/>
        </w:rPr>
        <w:t>המבקשים להיכנס</w:t>
      </w:r>
      <w:r w:rsidRPr="008F0B41">
        <w:rPr>
          <w:rFonts w:ascii="Arial TUR" w:hAnsi="Arial TUR" w:cs="FrankRuehl" w:hint="cs"/>
          <w:noProof w:val="0"/>
          <w:spacing w:val="10"/>
          <w:sz w:val="22"/>
          <w:szCs w:val="28"/>
          <w:rtl/>
        </w:rPr>
        <w:t xml:space="preserve">. </w:t>
      </w:r>
    </w:p>
    <w:p w:rsidR="008F0B41" w:rsidRPr="008F0B41" w:rsidRDefault="008F0B41" w:rsidP="008F0B41">
      <w:pPr>
        <w:tabs>
          <w:tab w:val="left" w:pos="800"/>
        </w:tabs>
        <w:overflowPunct w:val="0"/>
        <w:autoSpaceDE w:val="0"/>
        <w:autoSpaceDN w:val="0"/>
        <w:adjustRightInd w:val="0"/>
        <w:spacing w:line="360" w:lineRule="auto"/>
        <w:jc w:val="both"/>
        <w:textAlignment w:val="baseline"/>
        <w:rPr>
          <w:rFonts w:ascii="Arial TUR" w:hAnsi="Arial TUR" w:cs="FrankRuehl"/>
          <w:noProof w:val="0"/>
          <w:spacing w:val="10"/>
          <w:sz w:val="22"/>
          <w:szCs w:val="28"/>
          <w:rtl/>
        </w:rPr>
      </w:pPr>
    </w:p>
    <w:p w:rsidR="008F0B41" w:rsidRPr="008F0B41" w:rsidRDefault="008F0B41" w:rsidP="008F0B41">
      <w:pPr>
        <w:tabs>
          <w:tab w:val="left" w:pos="800"/>
        </w:tabs>
        <w:overflowPunct w:val="0"/>
        <w:autoSpaceDE w:val="0"/>
        <w:autoSpaceDN w:val="0"/>
        <w:adjustRightInd w:val="0"/>
        <w:spacing w:line="360" w:lineRule="auto"/>
        <w:jc w:val="both"/>
        <w:textAlignment w:val="baseline"/>
        <w:rPr>
          <w:rFonts w:ascii="Arial TUR" w:hAnsi="Arial TUR" w:cs="FrankRuehl"/>
          <w:noProof w:val="0"/>
          <w:spacing w:val="10"/>
          <w:sz w:val="22"/>
          <w:szCs w:val="28"/>
          <w:rtl/>
        </w:rPr>
      </w:pPr>
      <w:r w:rsidRPr="008F0B41">
        <w:rPr>
          <w:rFonts w:ascii="Arial TUR" w:hAnsi="Arial TUR" w:cs="FrankRuehl" w:hint="cs"/>
          <w:noProof w:val="0"/>
          <w:spacing w:val="10"/>
          <w:sz w:val="22"/>
          <w:szCs w:val="28"/>
          <w:rtl/>
        </w:rPr>
        <w:t xml:space="preserve">פסק הדין העיקרי נכתב על ידי השופט </w:t>
      </w:r>
      <w:r w:rsidRPr="008F0B41">
        <w:rPr>
          <w:rFonts w:ascii="Century" w:hAnsi="Century" w:cs="Miriam" w:hint="cs"/>
          <w:b/>
          <w:noProof w:val="0"/>
          <w:sz w:val="22"/>
          <w:rtl/>
        </w:rPr>
        <w:t>י' עמית</w:t>
      </w:r>
      <w:r w:rsidRPr="008F0B41">
        <w:rPr>
          <w:rFonts w:ascii="Arial TUR" w:hAnsi="Arial TUR" w:cs="FrankRuehl" w:hint="cs"/>
          <w:noProof w:val="0"/>
          <w:spacing w:val="10"/>
          <w:sz w:val="22"/>
          <w:szCs w:val="28"/>
          <w:rtl/>
        </w:rPr>
        <w:t xml:space="preserve">, שהצביע על כך שהחלטת שר הביטחון עומדת בניגוד לפסיקה קודמת של בג"ץ בנושא זה וכי לא ניתנה הנמקה לאי יישום פסיקה זו גם ביום הזיכרון תשפ"ג. החלטת שר הביטחון ניתנה בניגוד להמלצת מתאם הפעולות בשטחים, שהוא הגורם המקצועי הרלוונטי; למרות החרגת אלפי פלסטינים מהסגר; ולמרות עמדת הייעוץ המשפטי לממשלה לפיה לא הוצגה תשתית מקצועית-עובדתית שיש בה כדי להצביע על שינוי נסיבות המצדיק סטייה מהמתווה שנקבע בשתי עתירות קודמות. </w:t>
      </w:r>
    </w:p>
    <w:p w:rsidR="008F0B41" w:rsidRPr="008F0B41" w:rsidRDefault="008F0B41" w:rsidP="008F0B41">
      <w:pPr>
        <w:tabs>
          <w:tab w:val="left" w:pos="800"/>
        </w:tabs>
        <w:overflowPunct w:val="0"/>
        <w:autoSpaceDE w:val="0"/>
        <w:autoSpaceDN w:val="0"/>
        <w:adjustRightInd w:val="0"/>
        <w:spacing w:line="360" w:lineRule="auto"/>
        <w:jc w:val="both"/>
        <w:textAlignment w:val="baseline"/>
        <w:rPr>
          <w:rFonts w:ascii="Arial TUR" w:hAnsi="Arial TUR" w:cs="FrankRuehl"/>
          <w:noProof w:val="0"/>
          <w:spacing w:val="10"/>
          <w:sz w:val="22"/>
          <w:szCs w:val="28"/>
          <w:rtl/>
        </w:rPr>
      </w:pPr>
    </w:p>
    <w:p w:rsidR="008F0B41" w:rsidRPr="008F0B41" w:rsidRDefault="008F0B41" w:rsidP="008F0B41">
      <w:pPr>
        <w:tabs>
          <w:tab w:val="left" w:pos="800"/>
        </w:tabs>
        <w:overflowPunct w:val="0"/>
        <w:autoSpaceDE w:val="0"/>
        <w:autoSpaceDN w:val="0"/>
        <w:adjustRightInd w:val="0"/>
        <w:spacing w:line="360" w:lineRule="auto"/>
        <w:jc w:val="both"/>
        <w:textAlignment w:val="baseline"/>
        <w:rPr>
          <w:rFonts w:ascii="Arial TUR" w:hAnsi="Arial TUR" w:cs="FrankRuehl"/>
          <w:noProof w:val="0"/>
          <w:spacing w:val="10"/>
          <w:sz w:val="22"/>
          <w:szCs w:val="28"/>
          <w:rtl/>
        </w:rPr>
      </w:pPr>
      <w:r w:rsidRPr="008F0B41">
        <w:rPr>
          <w:rFonts w:ascii="Arial TUR" w:hAnsi="Arial TUR" w:cs="FrankRuehl" w:hint="cs"/>
          <w:noProof w:val="0"/>
          <w:spacing w:val="10"/>
          <w:sz w:val="22"/>
          <w:szCs w:val="28"/>
          <w:rtl/>
        </w:rPr>
        <w:t>השופט</w:t>
      </w:r>
      <w:r w:rsidRPr="008F0B41">
        <w:rPr>
          <w:rFonts w:ascii="Century" w:hAnsi="Century" w:cs="Miriam"/>
          <w:b/>
          <w:noProof w:val="0"/>
          <w:sz w:val="22"/>
          <w:rtl/>
        </w:rPr>
        <w:t xml:space="preserve"> עמית</w:t>
      </w:r>
      <w:r w:rsidRPr="008F0B41">
        <w:rPr>
          <w:rFonts w:ascii="Arial TUR" w:hAnsi="Arial TUR" w:cs="FrankRuehl" w:hint="cs"/>
          <w:noProof w:val="0"/>
          <w:spacing w:val="10"/>
          <w:sz w:val="22"/>
          <w:szCs w:val="28"/>
          <w:rtl/>
        </w:rPr>
        <w:t xml:space="preserve"> ציין כי "אכן, יש להניח כי הטקס המשותף הוא לצנינים בעיני חלק מהמשפחות השכולות וחלקים מהציבור בישראל [...] אך אל מול הפגיעה ברגשות חלק מהציבור, יש להציב את רגשות המשפחות השכולות והחלקים בציבור שמזדהים עם תכניו של הטקס המשותף ומטרותיו. אין לצד זה או אחר בציבור הישראלי מונופול על הדרך שבה משפחה שכולה רשאית לבטא את אבלה ואת כאבה ביום הזיכרון [...] ביום הזיכרון איש באמונתו ינהג, איש איש עם צערו, כאבו ושברו, כל אחד לפי דרכו". </w:t>
      </w:r>
    </w:p>
    <w:p w:rsidR="008F0B41" w:rsidRPr="008F0B41" w:rsidRDefault="008F0B41" w:rsidP="008F0B41">
      <w:pPr>
        <w:tabs>
          <w:tab w:val="left" w:pos="800"/>
        </w:tabs>
        <w:overflowPunct w:val="0"/>
        <w:autoSpaceDE w:val="0"/>
        <w:autoSpaceDN w:val="0"/>
        <w:adjustRightInd w:val="0"/>
        <w:spacing w:line="360" w:lineRule="auto"/>
        <w:jc w:val="both"/>
        <w:textAlignment w:val="baseline"/>
        <w:rPr>
          <w:rFonts w:ascii="Arial TUR" w:hAnsi="Arial TUR" w:cs="FrankRuehl"/>
          <w:noProof w:val="0"/>
          <w:spacing w:val="10"/>
          <w:sz w:val="22"/>
          <w:szCs w:val="28"/>
          <w:rtl/>
        </w:rPr>
      </w:pPr>
    </w:p>
    <w:p w:rsidR="008F0B41" w:rsidRPr="008F0B41" w:rsidRDefault="008F0B41" w:rsidP="008F0B41">
      <w:pPr>
        <w:tabs>
          <w:tab w:val="left" w:pos="800"/>
        </w:tabs>
        <w:overflowPunct w:val="0"/>
        <w:autoSpaceDE w:val="0"/>
        <w:autoSpaceDN w:val="0"/>
        <w:adjustRightInd w:val="0"/>
        <w:spacing w:line="360" w:lineRule="auto"/>
        <w:jc w:val="both"/>
        <w:textAlignment w:val="baseline"/>
        <w:rPr>
          <w:rFonts w:ascii="Century" w:hAnsi="Century" w:cs="FrankRuehl"/>
          <w:noProof w:val="0"/>
          <w:spacing w:val="10"/>
          <w:sz w:val="22"/>
          <w:szCs w:val="28"/>
          <w:rtl/>
        </w:rPr>
      </w:pPr>
      <w:r w:rsidRPr="008F0B41">
        <w:rPr>
          <w:rFonts w:ascii="Arial TUR" w:hAnsi="Arial TUR" w:cs="FrankRuehl" w:hint="cs"/>
          <w:noProof w:val="0"/>
          <w:spacing w:val="10"/>
          <w:sz w:val="22"/>
          <w:szCs w:val="28"/>
          <w:rtl/>
        </w:rPr>
        <w:t xml:space="preserve">השופטת </w:t>
      </w:r>
      <w:r w:rsidRPr="008F0B41">
        <w:rPr>
          <w:rFonts w:ascii="Century" w:hAnsi="Century" w:cs="Miriam" w:hint="cs"/>
          <w:b/>
          <w:noProof w:val="0"/>
          <w:sz w:val="22"/>
          <w:rtl/>
        </w:rPr>
        <w:t>וילנר</w:t>
      </w:r>
      <w:r w:rsidRPr="008F0B41">
        <w:rPr>
          <w:rFonts w:ascii="Arial TUR" w:hAnsi="Arial TUR" w:cs="FrankRuehl" w:hint="cs"/>
          <w:noProof w:val="0"/>
          <w:spacing w:val="10"/>
          <w:sz w:val="22"/>
          <w:szCs w:val="28"/>
          <w:rtl/>
        </w:rPr>
        <w:t xml:space="preserve"> הדגישה, כי</w:t>
      </w:r>
      <w:r w:rsidRPr="008F0B41">
        <w:rPr>
          <w:rFonts w:ascii="Century" w:hAnsi="Century" w:cs="FrankRuehl" w:hint="cs"/>
          <w:noProof w:val="0"/>
          <w:spacing w:val="10"/>
          <w:sz w:val="22"/>
          <w:szCs w:val="28"/>
          <w:rtl/>
        </w:rPr>
        <w:t xml:space="preserve"> למרות עמדת הייעוץ המשפטי לממשלה, וחרף המלצת הגורמים המקצועיים לאשר את בקשת העותרים,</w:t>
      </w:r>
      <w:r w:rsidRPr="008F0B41">
        <w:rPr>
          <w:rFonts w:ascii="Arial TUR" w:hAnsi="Arial TUR" w:cs="FrankRuehl" w:hint="cs"/>
          <w:noProof w:val="0"/>
          <w:spacing w:val="10"/>
          <w:sz w:val="22"/>
          <w:szCs w:val="28"/>
          <w:rtl/>
        </w:rPr>
        <w:t xml:space="preserve"> </w:t>
      </w:r>
      <w:r w:rsidRPr="008F0B41">
        <w:rPr>
          <w:rFonts w:ascii="Century" w:hAnsi="Century" w:cs="FrankRuehl" w:hint="cs"/>
          <w:noProof w:val="0"/>
          <w:spacing w:val="10"/>
          <w:sz w:val="22"/>
          <w:szCs w:val="28"/>
          <w:rtl/>
        </w:rPr>
        <w:t xml:space="preserve">שר הביטחון בחר שלא להציג לפני בית המשפט את עמדתו-הוא, על שיקוליו ונימוקיו; לעמוד על שינוי נסיבות רלוונטי; ולנסות לשכנע כי זו הפעם יש להותיר את החלטת השר על כנה. זאת, על אף שכידוע, ובהתאם לפסיקה, עמדו לפני השר מספר אפשרויות בהקשר זה </w:t>
      </w:r>
      <w:r w:rsidRPr="008F0B41">
        <w:rPr>
          <w:rFonts w:ascii="Century" w:hAnsi="Century" w:cs="FrankRuehl"/>
          <w:noProof w:val="0"/>
          <w:spacing w:val="10"/>
          <w:sz w:val="22"/>
          <w:szCs w:val="28"/>
          <w:rtl/>
        </w:rPr>
        <w:t>–</w:t>
      </w:r>
      <w:r w:rsidRPr="008F0B41">
        <w:rPr>
          <w:rFonts w:ascii="Century" w:hAnsi="Century" w:cs="FrankRuehl" w:hint="cs"/>
          <w:noProof w:val="0"/>
          <w:spacing w:val="10"/>
          <w:sz w:val="22"/>
          <w:szCs w:val="28"/>
          <w:rtl/>
        </w:rPr>
        <w:t xml:space="preserve"> הצגת עמדתו על ידי היועמ"ש; לבקש קבלת ייצוג עצמאי; או להציג את עמדתו בעצמו. השר בחר כאמור, וטעמיו עמו, שלא לנקוט באף אחת מדרכים אלו, והדבר אומר דרשני. השופטת </w:t>
      </w:r>
      <w:r w:rsidRPr="008F0B41">
        <w:rPr>
          <w:rFonts w:ascii="Century" w:hAnsi="Century" w:cs="Miriam" w:hint="cs"/>
          <w:b/>
          <w:noProof w:val="0"/>
          <w:sz w:val="22"/>
          <w:rtl/>
        </w:rPr>
        <w:t>וילנר</w:t>
      </w:r>
      <w:r w:rsidRPr="008F0B41">
        <w:rPr>
          <w:rFonts w:ascii="Century" w:hAnsi="Century" w:cs="FrankRuehl" w:hint="cs"/>
          <w:noProof w:val="0"/>
          <w:spacing w:val="10"/>
          <w:sz w:val="22"/>
          <w:szCs w:val="28"/>
          <w:rtl/>
        </w:rPr>
        <w:t xml:space="preserve"> ציינה, כי התוצאה שאליה הגיע בית משפט זה בעתירות הקודמות אינה מובנת מאליה, אך בהיעדר הנמקה מבוררת מצד שר הביטחון לסטייה מפסקי הדין הרלוונטיים, אין מנוס אלא ללכת בתלם שנחרש זה לא מכבר בפסיקתו של בית משפט זה בסוגיה הנדונה, ולקבל את העתירה.</w:t>
      </w:r>
    </w:p>
    <w:p w:rsidR="008F0B41" w:rsidRPr="008F0B41" w:rsidRDefault="008F0B41" w:rsidP="008F0B41">
      <w:pPr>
        <w:tabs>
          <w:tab w:val="left" w:pos="800"/>
        </w:tabs>
        <w:overflowPunct w:val="0"/>
        <w:autoSpaceDE w:val="0"/>
        <w:autoSpaceDN w:val="0"/>
        <w:adjustRightInd w:val="0"/>
        <w:spacing w:line="360" w:lineRule="auto"/>
        <w:jc w:val="both"/>
        <w:textAlignment w:val="baseline"/>
        <w:rPr>
          <w:rFonts w:ascii="Arial TUR" w:hAnsi="Arial TUR" w:cs="FrankRuehl"/>
          <w:noProof w:val="0"/>
          <w:spacing w:val="10"/>
          <w:sz w:val="22"/>
          <w:szCs w:val="28"/>
          <w:rtl/>
        </w:rPr>
      </w:pPr>
    </w:p>
    <w:p w:rsidR="008F0B41" w:rsidRPr="008F0B41" w:rsidRDefault="008F0B41" w:rsidP="008F0B41">
      <w:pPr>
        <w:tabs>
          <w:tab w:val="left" w:pos="800"/>
        </w:tabs>
        <w:overflowPunct w:val="0"/>
        <w:autoSpaceDE w:val="0"/>
        <w:autoSpaceDN w:val="0"/>
        <w:adjustRightInd w:val="0"/>
        <w:spacing w:line="360" w:lineRule="auto"/>
        <w:jc w:val="both"/>
        <w:textAlignment w:val="baseline"/>
        <w:rPr>
          <w:rFonts w:ascii="Arial TUR" w:hAnsi="Arial TUR" w:cs="FrankRuehl"/>
          <w:noProof w:val="0"/>
          <w:spacing w:val="10"/>
          <w:sz w:val="22"/>
          <w:szCs w:val="28"/>
          <w:rtl/>
        </w:rPr>
      </w:pPr>
      <w:r w:rsidRPr="008F0B41">
        <w:rPr>
          <w:rFonts w:ascii="Arial TUR" w:hAnsi="Arial TUR" w:cs="FrankRuehl" w:hint="cs"/>
          <w:noProof w:val="0"/>
          <w:spacing w:val="10"/>
          <w:sz w:val="22"/>
          <w:szCs w:val="28"/>
          <w:rtl/>
        </w:rPr>
        <w:t xml:space="preserve">השופט </w:t>
      </w:r>
      <w:r w:rsidRPr="008F0B41">
        <w:rPr>
          <w:rFonts w:ascii="Century" w:hAnsi="Century" w:cs="Miriam" w:hint="cs"/>
          <w:b/>
          <w:noProof w:val="0"/>
          <w:sz w:val="22"/>
          <w:rtl/>
        </w:rPr>
        <w:t>שטיין</w:t>
      </w:r>
      <w:r w:rsidRPr="008F0B41">
        <w:rPr>
          <w:rFonts w:ascii="Arial TUR" w:hAnsi="Arial TUR" w:cs="FrankRuehl" w:hint="cs"/>
          <w:noProof w:val="0"/>
          <w:spacing w:val="10"/>
          <w:sz w:val="22"/>
          <w:szCs w:val="28"/>
          <w:rtl/>
        </w:rPr>
        <w:t xml:space="preserve"> ציין כי לא ראה מנוס מלקבל את העתירה מאחר ששר הביטחון בחר שלא להציג ולפרט את עמדתו ואת שיקוליו, ואף לא ביקש להופיע בפני בית המשפט באופן עצמאי. בהקשר זה, חזר השופט </w:t>
      </w:r>
      <w:r w:rsidRPr="008F0B41">
        <w:rPr>
          <w:rFonts w:ascii="Century" w:hAnsi="Century" w:cs="Miriam" w:hint="cs"/>
          <w:b/>
          <w:noProof w:val="0"/>
          <w:sz w:val="22"/>
          <w:rtl/>
        </w:rPr>
        <w:t>שטיין</w:t>
      </w:r>
      <w:r w:rsidRPr="008F0B41">
        <w:rPr>
          <w:rFonts w:ascii="Arial TUR" w:hAnsi="Arial TUR" w:cs="FrankRuehl" w:hint="cs"/>
          <w:noProof w:val="0"/>
          <w:spacing w:val="10"/>
          <w:sz w:val="22"/>
          <w:szCs w:val="28"/>
          <w:rtl/>
        </w:rPr>
        <w:t xml:space="preserve"> על עמדתו, כפי שהביע בעבר, בכל הנוגע לסוגיית ייצוגם של משיבי המדינה במקרים של חילוקי דעות עם הייעוץ המשפטי לממשלה.</w:t>
      </w:r>
    </w:p>
    <w:p w:rsidR="008F0B41" w:rsidRPr="008F0B41" w:rsidRDefault="008F0B41" w:rsidP="008F0B41">
      <w:pPr>
        <w:tabs>
          <w:tab w:val="left" w:pos="800"/>
        </w:tabs>
        <w:overflowPunct w:val="0"/>
        <w:autoSpaceDE w:val="0"/>
        <w:autoSpaceDN w:val="0"/>
        <w:adjustRightInd w:val="0"/>
        <w:spacing w:line="360" w:lineRule="auto"/>
        <w:jc w:val="both"/>
        <w:textAlignment w:val="baseline"/>
        <w:rPr>
          <w:rFonts w:ascii="Arial TUR" w:hAnsi="Arial TUR" w:cs="FrankRuehl"/>
          <w:noProof w:val="0"/>
          <w:spacing w:val="10"/>
          <w:sz w:val="22"/>
          <w:szCs w:val="28"/>
          <w:rtl/>
        </w:rPr>
      </w:pPr>
    </w:p>
    <w:p w:rsidR="009F00A1" w:rsidRDefault="009F00A1" w:rsidP="009F00A1">
      <w:pPr>
        <w:spacing w:after="120" w:line="360" w:lineRule="auto"/>
        <w:jc w:val="both"/>
        <w:rPr>
          <w:rFonts w:ascii="FrankRuehl" w:hAnsi="FrankRuehl" w:cs="FrankRuehl"/>
          <w:color w:val="17365D" w:themeColor="text2" w:themeShade="BF"/>
          <w:sz w:val="26"/>
          <w:szCs w:val="26"/>
          <w:rtl/>
        </w:rPr>
      </w:pPr>
      <w:bookmarkStart w:id="0" w:name="_GoBack"/>
      <w:bookmarkEnd w:id="0"/>
    </w:p>
    <w:p w:rsidR="00E20667" w:rsidRPr="009F00A1" w:rsidRDefault="009F00A1" w:rsidP="009F00A1">
      <w:pPr>
        <w:spacing w:after="120" w:line="360" w:lineRule="auto"/>
        <w:jc w:val="center"/>
        <w:rPr>
          <w:rFonts w:ascii="FrankRuehl" w:hAnsi="FrankRuehl" w:cs="FrankRuehl"/>
          <w:b/>
          <w:bCs/>
          <w:color w:val="17365D" w:themeColor="text2" w:themeShade="BF"/>
          <w:sz w:val="26"/>
          <w:szCs w:val="26"/>
        </w:rPr>
      </w:pPr>
      <w:r w:rsidRPr="009F00A1">
        <w:rPr>
          <w:rFonts w:ascii="FrankRuehl" w:hAnsi="FrankRuehl" w:cs="FrankRuehl" w:hint="cs"/>
          <w:b/>
          <w:bCs/>
          <w:color w:val="17365D" w:themeColor="text2" w:themeShade="BF"/>
          <w:sz w:val="26"/>
          <w:szCs w:val="26"/>
          <w:rtl/>
        </w:rPr>
        <w:t>***</w:t>
      </w:r>
      <w:r>
        <w:rPr>
          <w:rFonts w:ascii="FrankRuehl" w:hAnsi="FrankRuehl" w:cs="FrankRuehl" w:hint="cs"/>
          <w:b/>
          <w:bCs/>
          <w:color w:val="17365D" w:themeColor="text2" w:themeShade="BF"/>
          <w:sz w:val="26"/>
          <w:szCs w:val="26"/>
          <w:rtl/>
        </w:rPr>
        <w:t xml:space="preserve"> </w:t>
      </w:r>
      <w:r w:rsidR="00630366" w:rsidRPr="009F00A1">
        <w:rPr>
          <w:rFonts w:ascii="FrankRuehl" w:hAnsi="FrankRuehl" w:cs="FrankRuehl"/>
          <w:b/>
          <w:bCs/>
          <w:color w:val="17365D" w:themeColor="text2" w:themeShade="BF"/>
          <w:sz w:val="26"/>
          <w:szCs w:val="26"/>
          <w:rtl/>
        </w:rPr>
        <w:t>התקציר אינו בא להחליף את פסק</w:t>
      </w:r>
      <w:r w:rsidR="00BB5080" w:rsidRPr="009F00A1">
        <w:rPr>
          <w:rFonts w:ascii="FrankRuehl" w:hAnsi="FrankRuehl" w:cs="FrankRuehl" w:hint="cs"/>
          <w:b/>
          <w:bCs/>
          <w:color w:val="17365D" w:themeColor="text2" w:themeShade="BF"/>
          <w:sz w:val="26"/>
          <w:szCs w:val="26"/>
          <w:rtl/>
        </w:rPr>
        <w:t>-</w:t>
      </w:r>
      <w:r w:rsidR="00630366" w:rsidRPr="009F00A1">
        <w:rPr>
          <w:rFonts w:ascii="FrankRuehl" w:hAnsi="FrankRuehl" w:cs="FrankRuehl"/>
          <w:b/>
          <w:bCs/>
          <w:color w:val="17365D" w:themeColor="text2" w:themeShade="BF"/>
          <w:sz w:val="26"/>
          <w:szCs w:val="26"/>
          <w:rtl/>
        </w:rPr>
        <w:t>הדין, הנוסח</w:t>
      </w:r>
      <w:r w:rsidRPr="009F00A1">
        <w:rPr>
          <w:rFonts w:ascii="FrankRuehl" w:hAnsi="FrankRuehl" w:cs="FrankRuehl"/>
          <w:b/>
          <w:bCs/>
          <w:color w:val="17365D" w:themeColor="text2" w:themeShade="BF"/>
          <w:sz w:val="26"/>
          <w:szCs w:val="26"/>
          <w:rtl/>
        </w:rPr>
        <w:t xml:space="preserve"> המחייב הוא זה של פסק-הדין המלא</w:t>
      </w:r>
      <w:r>
        <w:rPr>
          <w:rFonts w:ascii="FrankRuehl" w:hAnsi="FrankRuehl" w:cs="FrankRuehl" w:hint="cs"/>
          <w:b/>
          <w:bCs/>
          <w:color w:val="17365D" w:themeColor="text2" w:themeShade="BF"/>
          <w:sz w:val="26"/>
          <w:szCs w:val="26"/>
          <w:rtl/>
        </w:rPr>
        <w:t xml:space="preserve"> </w:t>
      </w:r>
      <w:r w:rsidRPr="009F00A1">
        <w:rPr>
          <w:rFonts w:ascii="FrankRuehl" w:hAnsi="FrankRuehl" w:cs="FrankRuehl" w:hint="cs"/>
          <w:b/>
          <w:bCs/>
          <w:color w:val="17365D" w:themeColor="text2" w:themeShade="BF"/>
          <w:sz w:val="26"/>
          <w:szCs w:val="26"/>
          <w:rtl/>
        </w:rPr>
        <w:t>***</w:t>
      </w:r>
    </w:p>
    <w:sectPr w:rsidR="00E20667" w:rsidRPr="009F00A1" w:rsidSect="00991F17">
      <w:headerReference w:type="default" r:id="rId9"/>
      <w:footerReference w:type="default" r:id="rId10"/>
      <w:pgSz w:w="11907" w:h="16840" w:code="9"/>
      <w:pgMar w:top="1440" w:right="1191" w:bottom="1440" w:left="1191"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386D" w:rsidRDefault="00A0386D">
      <w:r>
        <w:separator/>
      </w:r>
    </w:p>
  </w:endnote>
  <w:endnote w:type="continuationSeparator" w:id="0">
    <w:p w:rsidR="00A0386D" w:rsidRDefault="00A03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Arial TUR">
    <w:altName w:val="Microsoft Sans Serif"/>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5"/>
      <w:jc w:val="center"/>
      <w:rPr>
        <w:rStyle w:val="ac"/>
      </w:rPr>
    </w:pPr>
    <w:r w:rsidRPr="004E6E3C">
      <w:rPr>
        <w:rStyle w:val="ac"/>
        <w:rFonts w:cs="Times New Roman"/>
      </w:rPr>
      <w:fldChar w:fldCharType="begin"/>
    </w:r>
    <w:r w:rsidR="00005C8B" w:rsidRPr="004E6E3C">
      <w:rPr>
        <w:rStyle w:val="ac"/>
        <w:rFonts w:cs="Times New Roman"/>
      </w:rPr>
      <w:instrText xml:space="preserve"> PAGE </w:instrText>
    </w:r>
    <w:r w:rsidRPr="004E6E3C">
      <w:rPr>
        <w:rStyle w:val="ac"/>
        <w:rFonts w:cs="Times New Roman"/>
      </w:rPr>
      <w:fldChar w:fldCharType="separate"/>
    </w:r>
    <w:r w:rsidR="00C77FF1">
      <w:rPr>
        <w:rStyle w:val="ac"/>
        <w:rFonts w:cs="Times New Roman"/>
        <w:rtl/>
      </w:rPr>
      <w:t>1</w:t>
    </w:r>
    <w:r w:rsidRPr="004E6E3C">
      <w:rPr>
        <w:rStyle w:val="ac"/>
        <w:rFonts w:cs="Times New Roman"/>
      </w:rPr>
      <w:fldChar w:fldCharType="end"/>
    </w:r>
    <w:r w:rsidR="00005C8B" w:rsidRPr="004E6E3C">
      <w:rPr>
        <w:rStyle w:val="ac"/>
        <w:rFonts w:hint="cs"/>
        <w:rtl/>
      </w:rPr>
      <w:t xml:space="preserve"> מתוך </w:t>
    </w:r>
    <w:r w:rsidRPr="004E6E3C">
      <w:rPr>
        <w:rStyle w:val="ac"/>
      </w:rPr>
      <w:fldChar w:fldCharType="begin"/>
    </w:r>
    <w:r w:rsidR="00005C8B" w:rsidRPr="004E6E3C">
      <w:rPr>
        <w:rStyle w:val="ac"/>
      </w:rPr>
      <w:instrText xml:space="preserve"> NUMPAGES </w:instrText>
    </w:r>
    <w:r w:rsidRPr="004E6E3C">
      <w:rPr>
        <w:rStyle w:val="ac"/>
      </w:rPr>
      <w:fldChar w:fldCharType="separate"/>
    </w:r>
    <w:r w:rsidR="00C77FF1">
      <w:rPr>
        <w:rStyle w:val="ac"/>
        <w:rtl/>
      </w:rPr>
      <w:t>2</w:t>
    </w:r>
    <w:r w:rsidRPr="004E6E3C">
      <w:rPr>
        <w:rStyle w:val="a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386D" w:rsidRDefault="00A0386D">
      <w:r>
        <w:separator/>
      </w:r>
    </w:p>
  </w:footnote>
  <w:footnote w:type="continuationSeparator" w:id="0">
    <w:p w:rsidR="00A0386D" w:rsidRDefault="00A038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0366" w:rsidRPr="001C571B" w:rsidRDefault="00630366" w:rsidP="00630366">
    <w:pPr>
      <w:pStyle w:val="a3"/>
      <w:jc w:val="center"/>
      <w:rPr>
        <w:rFonts w:cs="FrankRuehl"/>
        <w:noProof w:val="0"/>
        <w:sz w:val="28"/>
        <w:szCs w:val="28"/>
        <w:u w:val="single"/>
        <w:rtl/>
      </w:rPr>
    </w:pPr>
    <w:r w:rsidRPr="001C571B">
      <w:rPr>
        <w:rFonts w:cs="FrankRuehl"/>
        <w:sz w:val="28"/>
        <w:szCs w:val="28"/>
        <w:u w:val="single"/>
      </w:rPr>
      <w:drawing>
        <wp:inline distT="0" distB="0" distL="0" distR="0" wp14:anchorId="7A420659" wp14:editId="51FA819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721"/>
    </w:tblGrid>
    <w:tr w:rsidR="00630366" w:rsidRPr="001C571B" w:rsidTr="00C35A3F">
      <w:trPr>
        <w:trHeight w:hRule="exact" w:val="670"/>
        <w:jc w:val="center"/>
      </w:trPr>
      <w:sdt>
        <w:sdtPr>
          <w:rPr>
            <w:sz w:val="32"/>
            <w:szCs w:val="32"/>
            <w:u w:val="single"/>
            <w:rtl/>
          </w:rPr>
          <w:alias w:val="1174"/>
          <w:tag w:val="1174"/>
          <w:id w:val="-1775709220"/>
          <w:text/>
        </w:sdtPr>
        <w:sdtContent>
          <w:tc>
            <w:tcPr>
              <w:tcW w:w="8721" w:type="dxa"/>
            </w:tcPr>
            <w:p w:rsidR="00630366" w:rsidRPr="001C571B" w:rsidRDefault="001C571B" w:rsidP="009F00A1">
              <w:pPr>
                <w:pStyle w:val="a3"/>
                <w:jc w:val="center"/>
                <w:rPr>
                  <w:rFonts w:ascii="Tahoma" w:hAnsi="Tahoma" w:hint="cs"/>
                  <w:b/>
                  <w:bCs/>
                  <w:noProof w:val="0"/>
                  <w:color w:val="000080"/>
                  <w:sz w:val="32"/>
                  <w:szCs w:val="32"/>
                  <w:u w:val="single"/>
                  <w:rtl/>
                </w:rPr>
              </w:pPr>
              <w:r w:rsidRPr="001C571B">
                <w:rPr>
                  <w:sz w:val="32"/>
                  <w:szCs w:val="32"/>
                  <w:u w:val="single"/>
                  <w:rtl/>
                </w:rPr>
                <w:t>בבית המשפט העליון בשבתו כבית משפט גבוה לצדק</w:t>
              </w:r>
            </w:p>
          </w:tc>
        </w:sdtContent>
      </w:sdt>
    </w:tr>
  </w:tbl>
  <w:p w:rsidR="00694556" w:rsidRDefault="00694556" w:rsidP="00630366">
    <w:pPr>
      <w:pStyle w:val="a3"/>
      <w:rPr>
        <w:noProof w:val="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73C17"/>
    <w:multiLevelType w:val="hybridMultilevel"/>
    <w:tmpl w:val="F4286D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B863AD5"/>
    <w:multiLevelType w:val="hybridMultilevel"/>
    <w:tmpl w:val="0730F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BE19DB"/>
    <w:multiLevelType w:val="hybridMultilevel"/>
    <w:tmpl w:val="F9ACFB78"/>
    <w:lvl w:ilvl="0" w:tplc="19A65FC8">
      <w:numFmt w:val="bullet"/>
      <w:lvlText w:val=""/>
      <w:lvlJc w:val="left"/>
      <w:pPr>
        <w:ind w:left="720" w:hanging="360"/>
      </w:pPr>
      <w:rPr>
        <w:rFonts w:ascii="Symbol" w:eastAsia="Times New Roman"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82B43"/>
    <w:multiLevelType w:val="hybridMultilevel"/>
    <w:tmpl w:val="A7D63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1753C6"/>
    <w:multiLevelType w:val="hybridMultilevel"/>
    <w:tmpl w:val="5C0A76F8"/>
    <w:lvl w:ilvl="0" w:tplc="78501858">
      <w:start w:val="124"/>
      <w:numFmt w:val="decimal"/>
      <w:lvlText w:val="%1"/>
      <w:lvlJc w:val="left"/>
      <w:pPr>
        <w:ind w:left="870" w:hanging="360"/>
      </w:pPr>
      <w:rPr>
        <w:rFonts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5" w15:restartNumberingAfterBreak="0">
    <w:nsid w:val="2C3119F5"/>
    <w:multiLevelType w:val="hybridMultilevel"/>
    <w:tmpl w:val="C02A9522"/>
    <w:lvl w:ilvl="0" w:tplc="E600161A">
      <w:start w:val="1"/>
      <w:numFmt w:val="hebrew1"/>
      <w:lvlText w:val="%1."/>
      <w:lvlJc w:val="left"/>
      <w:pPr>
        <w:ind w:left="870" w:hanging="360"/>
      </w:pPr>
    </w:lvl>
    <w:lvl w:ilvl="1" w:tplc="5274BB4A">
      <w:start w:val="1"/>
      <w:numFmt w:val="lowerLetter"/>
      <w:lvlText w:val="%2."/>
      <w:lvlJc w:val="left"/>
      <w:pPr>
        <w:ind w:left="1590" w:hanging="360"/>
      </w:pPr>
    </w:lvl>
    <w:lvl w:ilvl="2" w:tplc="ABF8BE68">
      <w:start w:val="1"/>
      <w:numFmt w:val="lowerRoman"/>
      <w:lvlText w:val="%3."/>
      <w:lvlJc w:val="right"/>
      <w:pPr>
        <w:ind w:left="2310" w:hanging="180"/>
      </w:pPr>
    </w:lvl>
    <w:lvl w:ilvl="3" w:tplc="46CC4F80">
      <w:start w:val="1"/>
      <w:numFmt w:val="decimal"/>
      <w:lvlText w:val="%4."/>
      <w:lvlJc w:val="left"/>
      <w:pPr>
        <w:ind w:left="3030" w:hanging="360"/>
      </w:pPr>
    </w:lvl>
    <w:lvl w:ilvl="4" w:tplc="66288980">
      <w:start w:val="1"/>
      <w:numFmt w:val="lowerLetter"/>
      <w:lvlText w:val="%5."/>
      <w:lvlJc w:val="left"/>
      <w:pPr>
        <w:ind w:left="3750" w:hanging="360"/>
      </w:pPr>
    </w:lvl>
    <w:lvl w:ilvl="5" w:tplc="93E88EDE">
      <w:start w:val="1"/>
      <w:numFmt w:val="lowerRoman"/>
      <w:lvlText w:val="%6."/>
      <w:lvlJc w:val="right"/>
      <w:pPr>
        <w:ind w:left="4470" w:hanging="180"/>
      </w:pPr>
    </w:lvl>
    <w:lvl w:ilvl="6" w:tplc="5B44B476">
      <w:start w:val="1"/>
      <w:numFmt w:val="decimal"/>
      <w:lvlText w:val="%7."/>
      <w:lvlJc w:val="left"/>
      <w:pPr>
        <w:ind w:left="5190" w:hanging="360"/>
      </w:pPr>
    </w:lvl>
    <w:lvl w:ilvl="7" w:tplc="B52261B4">
      <w:start w:val="1"/>
      <w:numFmt w:val="lowerLetter"/>
      <w:lvlText w:val="%8."/>
      <w:lvlJc w:val="left"/>
      <w:pPr>
        <w:ind w:left="5910" w:hanging="360"/>
      </w:pPr>
    </w:lvl>
    <w:lvl w:ilvl="8" w:tplc="AE44E7F2">
      <w:start w:val="1"/>
      <w:numFmt w:val="lowerRoman"/>
      <w:lvlText w:val="%9."/>
      <w:lvlJc w:val="right"/>
      <w:pPr>
        <w:ind w:left="6630" w:hanging="180"/>
      </w:pPr>
    </w:lvl>
  </w:abstractNum>
  <w:abstractNum w:abstractNumId="6" w15:restartNumberingAfterBreak="0">
    <w:nsid w:val="4437233A"/>
    <w:multiLevelType w:val="hybridMultilevel"/>
    <w:tmpl w:val="E340A30C"/>
    <w:lvl w:ilvl="0" w:tplc="AEE63E56">
      <w:start w:val="1"/>
      <w:numFmt w:val="decimal"/>
      <w:lvlText w:val="%1."/>
      <w:lvlJc w:val="left"/>
      <w:pPr>
        <w:ind w:left="360" w:hanging="360"/>
      </w:pPr>
      <w:rPr>
        <w:lang w:val="en-US"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4C45047"/>
    <w:multiLevelType w:val="hybridMultilevel"/>
    <w:tmpl w:val="FC3ADB6A"/>
    <w:lvl w:ilvl="0" w:tplc="C546AD1E">
      <w:start w:val="15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1D35B9"/>
    <w:multiLevelType w:val="hybridMultilevel"/>
    <w:tmpl w:val="72209954"/>
    <w:lvl w:ilvl="0" w:tplc="04090013">
      <w:start w:val="1"/>
      <w:numFmt w:val="hebrew1"/>
      <w:lvlText w:val="%1."/>
      <w:lvlJc w:val="center"/>
      <w:pPr>
        <w:ind w:left="720" w:hanging="360"/>
      </w:pPr>
      <w:rPr>
        <w:lang w:val="en-US"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99279D"/>
    <w:multiLevelType w:val="hybridMultilevel"/>
    <w:tmpl w:val="279606D8"/>
    <w:lvl w:ilvl="0" w:tplc="F716C0E6">
      <w:start w:val="1"/>
      <w:numFmt w:val="decimal"/>
      <w:lvlText w:val="%1."/>
      <w:lvlJc w:val="left"/>
      <w:pPr>
        <w:ind w:left="360" w:hanging="360"/>
      </w:pPr>
      <w:rPr>
        <w:rFonts w:cs="David"/>
        <w:lang w:bidi="he-IL"/>
      </w:rPr>
    </w:lvl>
    <w:lvl w:ilvl="1" w:tplc="A83A6B24">
      <w:start w:val="1"/>
      <w:numFmt w:val="lowerLetter"/>
      <w:lvlText w:val="%2."/>
      <w:lvlJc w:val="left"/>
      <w:pPr>
        <w:ind w:left="1080" w:hanging="360"/>
      </w:pPr>
    </w:lvl>
    <w:lvl w:ilvl="2" w:tplc="B68A81AE">
      <w:start w:val="1"/>
      <w:numFmt w:val="lowerRoman"/>
      <w:lvlText w:val="%3."/>
      <w:lvlJc w:val="right"/>
      <w:pPr>
        <w:ind w:left="1800" w:hanging="180"/>
      </w:pPr>
    </w:lvl>
    <w:lvl w:ilvl="3" w:tplc="66100B20">
      <w:start w:val="1"/>
      <w:numFmt w:val="decimal"/>
      <w:lvlText w:val="%4."/>
      <w:lvlJc w:val="left"/>
      <w:pPr>
        <w:ind w:left="2520" w:hanging="360"/>
      </w:pPr>
    </w:lvl>
    <w:lvl w:ilvl="4" w:tplc="0E7ACD7A">
      <w:start w:val="1"/>
      <w:numFmt w:val="lowerLetter"/>
      <w:lvlText w:val="%5."/>
      <w:lvlJc w:val="left"/>
      <w:pPr>
        <w:ind w:left="3240" w:hanging="360"/>
      </w:pPr>
    </w:lvl>
    <w:lvl w:ilvl="5" w:tplc="53AE8AAC">
      <w:start w:val="1"/>
      <w:numFmt w:val="lowerRoman"/>
      <w:lvlText w:val="%6."/>
      <w:lvlJc w:val="right"/>
      <w:pPr>
        <w:ind w:left="3960" w:hanging="180"/>
      </w:pPr>
    </w:lvl>
    <w:lvl w:ilvl="6" w:tplc="7436A5C4">
      <w:start w:val="1"/>
      <w:numFmt w:val="decimal"/>
      <w:lvlText w:val="%7."/>
      <w:lvlJc w:val="left"/>
      <w:pPr>
        <w:ind w:left="4680" w:hanging="360"/>
      </w:pPr>
    </w:lvl>
    <w:lvl w:ilvl="7" w:tplc="B8CE44DA">
      <w:start w:val="1"/>
      <w:numFmt w:val="lowerLetter"/>
      <w:lvlText w:val="%8."/>
      <w:lvlJc w:val="left"/>
      <w:pPr>
        <w:ind w:left="5400" w:hanging="360"/>
      </w:pPr>
    </w:lvl>
    <w:lvl w:ilvl="8" w:tplc="C930AB76">
      <w:start w:val="1"/>
      <w:numFmt w:val="lowerRoman"/>
      <w:lvlText w:val="%9."/>
      <w:lvlJc w:val="right"/>
      <w:pPr>
        <w:ind w:left="6120" w:hanging="180"/>
      </w:pPr>
    </w:lvl>
  </w:abstractNum>
  <w:abstractNum w:abstractNumId="10" w15:restartNumberingAfterBreak="0">
    <w:nsid w:val="660B7902"/>
    <w:multiLevelType w:val="hybridMultilevel"/>
    <w:tmpl w:val="056E8DBE"/>
    <w:lvl w:ilvl="0" w:tplc="A90CD6D4">
      <w:start w:val="1"/>
      <w:numFmt w:val="hebrew1"/>
      <w:lvlText w:val="%1."/>
      <w:lvlJc w:val="left"/>
      <w:pPr>
        <w:ind w:left="870" w:hanging="360"/>
      </w:pPr>
    </w:lvl>
    <w:lvl w:ilvl="1" w:tplc="17B267BA">
      <w:start w:val="1"/>
      <w:numFmt w:val="lowerLetter"/>
      <w:lvlText w:val="%2."/>
      <w:lvlJc w:val="left"/>
      <w:pPr>
        <w:ind w:left="1440" w:hanging="360"/>
      </w:pPr>
    </w:lvl>
    <w:lvl w:ilvl="2" w:tplc="CEE832BC">
      <w:start w:val="1"/>
      <w:numFmt w:val="lowerRoman"/>
      <w:lvlText w:val="%3."/>
      <w:lvlJc w:val="right"/>
      <w:pPr>
        <w:ind w:left="2160" w:hanging="180"/>
      </w:pPr>
    </w:lvl>
    <w:lvl w:ilvl="3" w:tplc="BEE4D402">
      <w:start w:val="1"/>
      <w:numFmt w:val="decimal"/>
      <w:lvlText w:val="%4."/>
      <w:lvlJc w:val="left"/>
      <w:pPr>
        <w:ind w:left="2880" w:hanging="360"/>
      </w:pPr>
    </w:lvl>
    <w:lvl w:ilvl="4" w:tplc="E110CAEE">
      <w:start w:val="1"/>
      <w:numFmt w:val="lowerLetter"/>
      <w:lvlText w:val="%5."/>
      <w:lvlJc w:val="left"/>
      <w:pPr>
        <w:ind w:left="3600" w:hanging="360"/>
      </w:pPr>
    </w:lvl>
    <w:lvl w:ilvl="5" w:tplc="C3369B1E">
      <w:start w:val="1"/>
      <w:numFmt w:val="lowerRoman"/>
      <w:lvlText w:val="%6."/>
      <w:lvlJc w:val="right"/>
      <w:pPr>
        <w:ind w:left="4320" w:hanging="180"/>
      </w:pPr>
    </w:lvl>
    <w:lvl w:ilvl="6" w:tplc="75E2CC32">
      <w:start w:val="1"/>
      <w:numFmt w:val="decimal"/>
      <w:lvlText w:val="%7."/>
      <w:lvlJc w:val="left"/>
      <w:pPr>
        <w:ind w:left="5040" w:hanging="360"/>
      </w:pPr>
    </w:lvl>
    <w:lvl w:ilvl="7" w:tplc="59BC0CE4">
      <w:start w:val="1"/>
      <w:numFmt w:val="lowerLetter"/>
      <w:lvlText w:val="%8."/>
      <w:lvlJc w:val="left"/>
      <w:pPr>
        <w:ind w:left="5760" w:hanging="360"/>
      </w:pPr>
    </w:lvl>
    <w:lvl w:ilvl="8" w:tplc="C2C238B6">
      <w:start w:val="1"/>
      <w:numFmt w:val="lowerRoman"/>
      <w:lvlText w:val="%9."/>
      <w:lvlJc w:val="right"/>
      <w:pPr>
        <w:ind w:left="6480" w:hanging="180"/>
      </w:pPr>
    </w:lvl>
  </w:abstractNum>
  <w:abstractNum w:abstractNumId="11" w15:restartNumberingAfterBreak="0">
    <w:nsid w:val="66C30588"/>
    <w:multiLevelType w:val="hybridMultilevel"/>
    <w:tmpl w:val="A732B970"/>
    <w:lvl w:ilvl="0" w:tplc="1B0010E6">
      <w:start w:val="151"/>
      <w:numFmt w:val="decimal"/>
      <w:lvlText w:val="%1."/>
      <w:lvlJc w:val="left"/>
      <w:pPr>
        <w:ind w:left="375" w:hanging="375"/>
      </w:pPr>
      <w:rPr>
        <w:rFonts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12" w15:restartNumberingAfterBreak="0">
    <w:nsid w:val="6E8B2360"/>
    <w:multiLevelType w:val="hybridMultilevel"/>
    <w:tmpl w:val="976C8472"/>
    <w:lvl w:ilvl="0" w:tplc="73CE38B6">
      <w:start w:val="1"/>
      <w:numFmt w:val="decimal"/>
      <w:lvlText w:val="%1."/>
      <w:lvlJc w:val="left"/>
      <w:pPr>
        <w:ind w:left="360" w:hanging="360"/>
      </w:pPr>
      <w:rPr>
        <w:b w:val="0"/>
        <w:bCs w:val="0"/>
        <w:lang w:val="en-U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6"/>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4"/>
  </w:num>
  <w:num w:numId="9">
    <w:abstractNumId w:val="7"/>
  </w:num>
  <w:num w:numId="10">
    <w:abstractNumId w:val="11"/>
  </w:num>
  <w:num w:numId="11">
    <w:abstractNumId w:val="1"/>
  </w:num>
  <w:num w:numId="12">
    <w:abstractNumId w:val="3"/>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activeWritingStyle w:appName="MSWord" w:lang="en-US" w:vendorID="64" w:dllVersion="131078" w:nlCheck="1" w:checkStyle="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0403"/>
    <w:rsid w:val="00001BF8"/>
    <w:rsid w:val="0000226B"/>
    <w:rsid w:val="000032D4"/>
    <w:rsid w:val="00005C8B"/>
    <w:rsid w:val="00006899"/>
    <w:rsid w:val="00014842"/>
    <w:rsid w:val="0001556A"/>
    <w:rsid w:val="00016B81"/>
    <w:rsid w:val="0001781B"/>
    <w:rsid w:val="000229BA"/>
    <w:rsid w:val="00022D1E"/>
    <w:rsid w:val="000232B9"/>
    <w:rsid w:val="00027EDE"/>
    <w:rsid w:val="00031F3A"/>
    <w:rsid w:val="00032554"/>
    <w:rsid w:val="00035924"/>
    <w:rsid w:val="000363A7"/>
    <w:rsid w:val="00043521"/>
    <w:rsid w:val="00044E49"/>
    <w:rsid w:val="000529D2"/>
    <w:rsid w:val="000564AB"/>
    <w:rsid w:val="00062BD5"/>
    <w:rsid w:val="00064FBD"/>
    <w:rsid w:val="000666C5"/>
    <w:rsid w:val="00067C34"/>
    <w:rsid w:val="000716BD"/>
    <w:rsid w:val="000728BC"/>
    <w:rsid w:val="000757F6"/>
    <w:rsid w:val="00082AB2"/>
    <w:rsid w:val="00083E13"/>
    <w:rsid w:val="000862B1"/>
    <w:rsid w:val="000906FE"/>
    <w:rsid w:val="00096101"/>
    <w:rsid w:val="00096AF7"/>
    <w:rsid w:val="0009760B"/>
    <w:rsid w:val="000A3AE9"/>
    <w:rsid w:val="000A66D3"/>
    <w:rsid w:val="000A6D80"/>
    <w:rsid w:val="000A6DB8"/>
    <w:rsid w:val="000B344B"/>
    <w:rsid w:val="000C16E5"/>
    <w:rsid w:val="000C236D"/>
    <w:rsid w:val="000C3246"/>
    <w:rsid w:val="000C3B0F"/>
    <w:rsid w:val="000C3B60"/>
    <w:rsid w:val="000D007D"/>
    <w:rsid w:val="000D197E"/>
    <w:rsid w:val="000D3652"/>
    <w:rsid w:val="000D5970"/>
    <w:rsid w:val="000D6824"/>
    <w:rsid w:val="000D6B6C"/>
    <w:rsid w:val="000E048A"/>
    <w:rsid w:val="000E0DD2"/>
    <w:rsid w:val="000E20F2"/>
    <w:rsid w:val="000E3AF1"/>
    <w:rsid w:val="000E4826"/>
    <w:rsid w:val="000F0BC8"/>
    <w:rsid w:val="000F0DD6"/>
    <w:rsid w:val="000F6671"/>
    <w:rsid w:val="00101CF1"/>
    <w:rsid w:val="00105959"/>
    <w:rsid w:val="00107E6D"/>
    <w:rsid w:val="0011194C"/>
    <w:rsid w:val="00113639"/>
    <w:rsid w:val="001138DB"/>
    <w:rsid w:val="0011424C"/>
    <w:rsid w:val="001173C6"/>
    <w:rsid w:val="0012182F"/>
    <w:rsid w:val="00124FB9"/>
    <w:rsid w:val="00126214"/>
    <w:rsid w:val="001367BC"/>
    <w:rsid w:val="001379A2"/>
    <w:rsid w:val="00140EC9"/>
    <w:rsid w:val="00142CED"/>
    <w:rsid w:val="00144D2A"/>
    <w:rsid w:val="0014653E"/>
    <w:rsid w:val="00147797"/>
    <w:rsid w:val="00150279"/>
    <w:rsid w:val="00151E3C"/>
    <w:rsid w:val="00154E7C"/>
    <w:rsid w:val="0015607B"/>
    <w:rsid w:val="00160137"/>
    <w:rsid w:val="00163773"/>
    <w:rsid w:val="00165D67"/>
    <w:rsid w:val="00165EAB"/>
    <w:rsid w:val="00173D57"/>
    <w:rsid w:val="00175F49"/>
    <w:rsid w:val="00180519"/>
    <w:rsid w:val="00181954"/>
    <w:rsid w:val="0018555E"/>
    <w:rsid w:val="00187D05"/>
    <w:rsid w:val="00191C82"/>
    <w:rsid w:val="001A02C2"/>
    <w:rsid w:val="001A5CB7"/>
    <w:rsid w:val="001A7177"/>
    <w:rsid w:val="001B0781"/>
    <w:rsid w:val="001B088D"/>
    <w:rsid w:val="001B7D56"/>
    <w:rsid w:val="001C0661"/>
    <w:rsid w:val="001C4003"/>
    <w:rsid w:val="001C571B"/>
    <w:rsid w:val="001C757F"/>
    <w:rsid w:val="001C767A"/>
    <w:rsid w:val="001C7F61"/>
    <w:rsid w:val="001D0A47"/>
    <w:rsid w:val="001D4DBF"/>
    <w:rsid w:val="001D5514"/>
    <w:rsid w:val="001D6B95"/>
    <w:rsid w:val="001E5790"/>
    <w:rsid w:val="001E75CA"/>
    <w:rsid w:val="001F25DA"/>
    <w:rsid w:val="001F49DC"/>
    <w:rsid w:val="001F6CE8"/>
    <w:rsid w:val="00206D9F"/>
    <w:rsid w:val="00212A68"/>
    <w:rsid w:val="002146ED"/>
    <w:rsid w:val="00222DE7"/>
    <w:rsid w:val="002265FF"/>
    <w:rsid w:val="00227882"/>
    <w:rsid w:val="00227A7D"/>
    <w:rsid w:val="00236D1D"/>
    <w:rsid w:val="00237C3F"/>
    <w:rsid w:val="00241DBF"/>
    <w:rsid w:val="00245081"/>
    <w:rsid w:val="0024711C"/>
    <w:rsid w:val="00252AD9"/>
    <w:rsid w:val="00255C13"/>
    <w:rsid w:val="00255E10"/>
    <w:rsid w:val="00263A30"/>
    <w:rsid w:val="0026459C"/>
    <w:rsid w:val="00266275"/>
    <w:rsid w:val="00271450"/>
    <w:rsid w:val="00271B56"/>
    <w:rsid w:val="0027240F"/>
    <w:rsid w:val="002724CC"/>
    <w:rsid w:val="00272980"/>
    <w:rsid w:val="0027446E"/>
    <w:rsid w:val="00274498"/>
    <w:rsid w:val="002745F4"/>
    <w:rsid w:val="00275571"/>
    <w:rsid w:val="00276208"/>
    <w:rsid w:val="00280382"/>
    <w:rsid w:val="002807A8"/>
    <w:rsid w:val="00285E63"/>
    <w:rsid w:val="00286AAC"/>
    <w:rsid w:val="00290D1B"/>
    <w:rsid w:val="00294198"/>
    <w:rsid w:val="002948E4"/>
    <w:rsid w:val="002A0BA9"/>
    <w:rsid w:val="002A3BB9"/>
    <w:rsid w:val="002A6D72"/>
    <w:rsid w:val="002B1BBC"/>
    <w:rsid w:val="002B3C66"/>
    <w:rsid w:val="002B4C12"/>
    <w:rsid w:val="002C01B1"/>
    <w:rsid w:val="002C0216"/>
    <w:rsid w:val="002C344E"/>
    <w:rsid w:val="002C4A1D"/>
    <w:rsid w:val="002C5B0E"/>
    <w:rsid w:val="002D072B"/>
    <w:rsid w:val="002D2165"/>
    <w:rsid w:val="002D790A"/>
    <w:rsid w:val="002E75E9"/>
    <w:rsid w:val="002E7ADE"/>
    <w:rsid w:val="002F0B1E"/>
    <w:rsid w:val="0030160C"/>
    <w:rsid w:val="00302EE4"/>
    <w:rsid w:val="003049B1"/>
    <w:rsid w:val="0030779D"/>
    <w:rsid w:val="00307A6A"/>
    <w:rsid w:val="00307C40"/>
    <w:rsid w:val="00310F25"/>
    <w:rsid w:val="00311B5F"/>
    <w:rsid w:val="0031698C"/>
    <w:rsid w:val="00320433"/>
    <w:rsid w:val="003230C7"/>
    <w:rsid w:val="00323B63"/>
    <w:rsid w:val="00327E50"/>
    <w:rsid w:val="00331CDA"/>
    <w:rsid w:val="00334B1A"/>
    <w:rsid w:val="00335637"/>
    <w:rsid w:val="0033597A"/>
    <w:rsid w:val="00335A4A"/>
    <w:rsid w:val="00343D89"/>
    <w:rsid w:val="0034430B"/>
    <w:rsid w:val="00347887"/>
    <w:rsid w:val="00352FC2"/>
    <w:rsid w:val="00353DA7"/>
    <w:rsid w:val="00354133"/>
    <w:rsid w:val="00355341"/>
    <w:rsid w:val="00355F36"/>
    <w:rsid w:val="00361D85"/>
    <w:rsid w:val="00362612"/>
    <w:rsid w:val="00362905"/>
    <w:rsid w:val="00363156"/>
    <w:rsid w:val="0036743F"/>
    <w:rsid w:val="0036776C"/>
    <w:rsid w:val="003715DD"/>
    <w:rsid w:val="0037759C"/>
    <w:rsid w:val="003823E0"/>
    <w:rsid w:val="0039394D"/>
    <w:rsid w:val="00396AB3"/>
    <w:rsid w:val="0039769B"/>
    <w:rsid w:val="003A0DF0"/>
    <w:rsid w:val="003A173E"/>
    <w:rsid w:val="003A29C4"/>
    <w:rsid w:val="003A4521"/>
    <w:rsid w:val="003A4A8E"/>
    <w:rsid w:val="003A4E75"/>
    <w:rsid w:val="003A721D"/>
    <w:rsid w:val="003B34A7"/>
    <w:rsid w:val="003B5782"/>
    <w:rsid w:val="003C4A07"/>
    <w:rsid w:val="003C5721"/>
    <w:rsid w:val="003C769E"/>
    <w:rsid w:val="003D1C8C"/>
    <w:rsid w:val="003D2B67"/>
    <w:rsid w:val="003D5FC4"/>
    <w:rsid w:val="003D6DEF"/>
    <w:rsid w:val="003E04A6"/>
    <w:rsid w:val="003E38C7"/>
    <w:rsid w:val="0040096C"/>
    <w:rsid w:val="00400EF3"/>
    <w:rsid w:val="00403A3E"/>
    <w:rsid w:val="00414F1F"/>
    <w:rsid w:val="00415D84"/>
    <w:rsid w:val="00415E8C"/>
    <w:rsid w:val="00420819"/>
    <w:rsid w:val="00420A71"/>
    <w:rsid w:val="00423A27"/>
    <w:rsid w:val="004247EC"/>
    <w:rsid w:val="00424F9F"/>
    <w:rsid w:val="00425944"/>
    <w:rsid w:val="0043125D"/>
    <w:rsid w:val="0043502B"/>
    <w:rsid w:val="0044122A"/>
    <w:rsid w:val="00441B96"/>
    <w:rsid w:val="004443AC"/>
    <w:rsid w:val="00444B02"/>
    <w:rsid w:val="00446FBB"/>
    <w:rsid w:val="00450E08"/>
    <w:rsid w:val="00451E28"/>
    <w:rsid w:val="004526BA"/>
    <w:rsid w:val="00460B44"/>
    <w:rsid w:val="00460FA3"/>
    <w:rsid w:val="00462C62"/>
    <w:rsid w:val="00464091"/>
    <w:rsid w:val="00464D8D"/>
    <w:rsid w:val="004657C1"/>
    <w:rsid w:val="00465D36"/>
    <w:rsid w:val="00466956"/>
    <w:rsid w:val="004772F6"/>
    <w:rsid w:val="004812BA"/>
    <w:rsid w:val="00483B36"/>
    <w:rsid w:val="00484F94"/>
    <w:rsid w:val="00492C21"/>
    <w:rsid w:val="00497EB3"/>
    <w:rsid w:val="004A0B70"/>
    <w:rsid w:val="004A1FF4"/>
    <w:rsid w:val="004A2FA4"/>
    <w:rsid w:val="004A3924"/>
    <w:rsid w:val="004B37EF"/>
    <w:rsid w:val="004B3DF1"/>
    <w:rsid w:val="004C17EE"/>
    <w:rsid w:val="004C3566"/>
    <w:rsid w:val="004C4BDF"/>
    <w:rsid w:val="004C57D1"/>
    <w:rsid w:val="004C7316"/>
    <w:rsid w:val="004C7D07"/>
    <w:rsid w:val="004D06B1"/>
    <w:rsid w:val="004D1187"/>
    <w:rsid w:val="004D3AA0"/>
    <w:rsid w:val="004D4028"/>
    <w:rsid w:val="004D59B2"/>
    <w:rsid w:val="004E00E0"/>
    <w:rsid w:val="004E08DE"/>
    <w:rsid w:val="004E1987"/>
    <w:rsid w:val="004E287E"/>
    <w:rsid w:val="004E2E15"/>
    <w:rsid w:val="004E6E3C"/>
    <w:rsid w:val="004F7804"/>
    <w:rsid w:val="005072D9"/>
    <w:rsid w:val="0051399A"/>
    <w:rsid w:val="00515FCD"/>
    <w:rsid w:val="00520898"/>
    <w:rsid w:val="0052119E"/>
    <w:rsid w:val="00522DC2"/>
    <w:rsid w:val="00523621"/>
    <w:rsid w:val="00524986"/>
    <w:rsid w:val="005268F6"/>
    <w:rsid w:val="00530B57"/>
    <w:rsid w:val="00534284"/>
    <w:rsid w:val="005400BA"/>
    <w:rsid w:val="00541CB9"/>
    <w:rsid w:val="00541CD9"/>
    <w:rsid w:val="005449FC"/>
    <w:rsid w:val="0054572E"/>
    <w:rsid w:val="00547DB7"/>
    <w:rsid w:val="0055016C"/>
    <w:rsid w:val="0055289E"/>
    <w:rsid w:val="0055328C"/>
    <w:rsid w:val="005567F5"/>
    <w:rsid w:val="00557D7B"/>
    <w:rsid w:val="00562BC6"/>
    <w:rsid w:val="00570649"/>
    <w:rsid w:val="005854AE"/>
    <w:rsid w:val="0058724F"/>
    <w:rsid w:val="005A2B4C"/>
    <w:rsid w:val="005B0B24"/>
    <w:rsid w:val="005B36CD"/>
    <w:rsid w:val="005B4685"/>
    <w:rsid w:val="005B4B27"/>
    <w:rsid w:val="005C5D9A"/>
    <w:rsid w:val="005C5E9E"/>
    <w:rsid w:val="005C68D2"/>
    <w:rsid w:val="005C6C9A"/>
    <w:rsid w:val="005D39D3"/>
    <w:rsid w:val="005D5FA7"/>
    <w:rsid w:val="005D6B85"/>
    <w:rsid w:val="005E12C3"/>
    <w:rsid w:val="005E2D5F"/>
    <w:rsid w:val="005E6502"/>
    <w:rsid w:val="005E7123"/>
    <w:rsid w:val="005F3F69"/>
    <w:rsid w:val="005F4D4F"/>
    <w:rsid w:val="005F4F09"/>
    <w:rsid w:val="005F5E8E"/>
    <w:rsid w:val="0060130F"/>
    <w:rsid w:val="0060251F"/>
    <w:rsid w:val="00602D7E"/>
    <w:rsid w:val="006046C1"/>
    <w:rsid w:val="00613176"/>
    <w:rsid w:val="0061431B"/>
    <w:rsid w:val="00614AF3"/>
    <w:rsid w:val="00622BAA"/>
    <w:rsid w:val="00624C15"/>
    <w:rsid w:val="00627972"/>
    <w:rsid w:val="00630366"/>
    <w:rsid w:val="006306CF"/>
    <w:rsid w:val="0063299F"/>
    <w:rsid w:val="00632E2C"/>
    <w:rsid w:val="00634660"/>
    <w:rsid w:val="00644E9A"/>
    <w:rsid w:val="006524B2"/>
    <w:rsid w:val="00652D13"/>
    <w:rsid w:val="00656086"/>
    <w:rsid w:val="006577D7"/>
    <w:rsid w:val="006644B1"/>
    <w:rsid w:val="006655D1"/>
    <w:rsid w:val="00667740"/>
    <w:rsid w:val="0067174C"/>
    <w:rsid w:val="00671BD5"/>
    <w:rsid w:val="00671FAD"/>
    <w:rsid w:val="00676E47"/>
    <w:rsid w:val="00680549"/>
    <w:rsid w:val="006805C1"/>
    <w:rsid w:val="0068125C"/>
    <w:rsid w:val="006868C8"/>
    <w:rsid w:val="00686C21"/>
    <w:rsid w:val="0068795C"/>
    <w:rsid w:val="00690CAD"/>
    <w:rsid w:val="006931C1"/>
    <w:rsid w:val="00694556"/>
    <w:rsid w:val="006A590F"/>
    <w:rsid w:val="006B0DC9"/>
    <w:rsid w:val="006B361A"/>
    <w:rsid w:val="006B4588"/>
    <w:rsid w:val="006B4D5C"/>
    <w:rsid w:val="006C30C5"/>
    <w:rsid w:val="006D3B31"/>
    <w:rsid w:val="006D66C8"/>
    <w:rsid w:val="006E0D96"/>
    <w:rsid w:val="006E1A53"/>
    <w:rsid w:val="006E4CC3"/>
    <w:rsid w:val="006E5DCD"/>
    <w:rsid w:val="006F241A"/>
    <w:rsid w:val="006F56E6"/>
    <w:rsid w:val="006F572A"/>
    <w:rsid w:val="006F6782"/>
    <w:rsid w:val="0070129C"/>
    <w:rsid w:val="00701810"/>
    <w:rsid w:val="007036FD"/>
    <w:rsid w:val="00704EDA"/>
    <w:rsid w:val="00711A90"/>
    <w:rsid w:val="0071275C"/>
    <w:rsid w:val="00712EA0"/>
    <w:rsid w:val="007154BA"/>
    <w:rsid w:val="00721122"/>
    <w:rsid w:val="007243AA"/>
    <w:rsid w:val="00727A57"/>
    <w:rsid w:val="00732C68"/>
    <w:rsid w:val="00733C41"/>
    <w:rsid w:val="00734689"/>
    <w:rsid w:val="0074259B"/>
    <w:rsid w:val="00744449"/>
    <w:rsid w:val="007470C9"/>
    <w:rsid w:val="00753019"/>
    <w:rsid w:val="0075338F"/>
    <w:rsid w:val="00754801"/>
    <w:rsid w:val="00757F94"/>
    <w:rsid w:val="00760529"/>
    <w:rsid w:val="00760FE8"/>
    <w:rsid w:val="00761441"/>
    <w:rsid w:val="00762367"/>
    <w:rsid w:val="00767094"/>
    <w:rsid w:val="007674AD"/>
    <w:rsid w:val="00770A9F"/>
    <w:rsid w:val="00774C09"/>
    <w:rsid w:val="00786B8B"/>
    <w:rsid w:val="00786C6D"/>
    <w:rsid w:val="00787605"/>
    <w:rsid w:val="00791B4D"/>
    <w:rsid w:val="00791BDB"/>
    <w:rsid w:val="00792E83"/>
    <w:rsid w:val="00795365"/>
    <w:rsid w:val="00796D58"/>
    <w:rsid w:val="00796DDB"/>
    <w:rsid w:val="007A2A4E"/>
    <w:rsid w:val="007A351D"/>
    <w:rsid w:val="007B447B"/>
    <w:rsid w:val="007B45DB"/>
    <w:rsid w:val="007B4C42"/>
    <w:rsid w:val="007B58D3"/>
    <w:rsid w:val="007B6169"/>
    <w:rsid w:val="007B684E"/>
    <w:rsid w:val="007B7765"/>
    <w:rsid w:val="007C5BDD"/>
    <w:rsid w:val="007C7494"/>
    <w:rsid w:val="007D1827"/>
    <w:rsid w:val="007D216E"/>
    <w:rsid w:val="007D4104"/>
    <w:rsid w:val="007D45E3"/>
    <w:rsid w:val="007D4E33"/>
    <w:rsid w:val="007E07DE"/>
    <w:rsid w:val="007E3247"/>
    <w:rsid w:val="007E3824"/>
    <w:rsid w:val="007E3AF6"/>
    <w:rsid w:val="007E6115"/>
    <w:rsid w:val="007F03CB"/>
    <w:rsid w:val="007F3303"/>
    <w:rsid w:val="007F3519"/>
    <w:rsid w:val="007F3B55"/>
    <w:rsid w:val="007F4609"/>
    <w:rsid w:val="007F6168"/>
    <w:rsid w:val="00801555"/>
    <w:rsid w:val="008016F8"/>
    <w:rsid w:val="00804281"/>
    <w:rsid w:val="00804DF0"/>
    <w:rsid w:val="00811DE2"/>
    <w:rsid w:val="00814468"/>
    <w:rsid w:val="00816755"/>
    <w:rsid w:val="00816AB4"/>
    <w:rsid w:val="008171C6"/>
    <w:rsid w:val="0081736A"/>
    <w:rsid w:val="008176A1"/>
    <w:rsid w:val="00820005"/>
    <w:rsid w:val="00821D80"/>
    <w:rsid w:val="008327C7"/>
    <w:rsid w:val="00835BAC"/>
    <w:rsid w:val="0083749E"/>
    <w:rsid w:val="00837DB1"/>
    <w:rsid w:val="00840C6C"/>
    <w:rsid w:val="00840F90"/>
    <w:rsid w:val="00841B97"/>
    <w:rsid w:val="00841C37"/>
    <w:rsid w:val="00843EE9"/>
    <w:rsid w:val="008441C3"/>
    <w:rsid w:val="00844318"/>
    <w:rsid w:val="0084570E"/>
    <w:rsid w:val="00846B25"/>
    <w:rsid w:val="00854AD3"/>
    <w:rsid w:val="008555D6"/>
    <w:rsid w:val="008561CB"/>
    <w:rsid w:val="008573F1"/>
    <w:rsid w:val="008574BE"/>
    <w:rsid w:val="00857793"/>
    <w:rsid w:val="00863765"/>
    <w:rsid w:val="00863A2F"/>
    <w:rsid w:val="00863F5D"/>
    <w:rsid w:val="00865DF3"/>
    <w:rsid w:val="00870890"/>
    <w:rsid w:val="00871A73"/>
    <w:rsid w:val="0087313A"/>
    <w:rsid w:val="00873602"/>
    <w:rsid w:val="00875D12"/>
    <w:rsid w:val="00877A67"/>
    <w:rsid w:val="00877CDA"/>
    <w:rsid w:val="0088479D"/>
    <w:rsid w:val="008908E1"/>
    <w:rsid w:val="00891F42"/>
    <w:rsid w:val="008933A5"/>
    <w:rsid w:val="00894400"/>
    <w:rsid w:val="00896889"/>
    <w:rsid w:val="008A146E"/>
    <w:rsid w:val="008A5C3B"/>
    <w:rsid w:val="008A6E97"/>
    <w:rsid w:val="008A7A69"/>
    <w:rsid w:val="008A7F54"/>
    <w:rsid w:val="008B09A1"/>
    <w:rsid w:val="008B4D71"/>
    <w:rsid w:val="008B5B1A"/>
    <w:rsid w:val="008C44BB"/>
    <w:rsid w:val="008C5714"/>
    <w:rsid w:val="008D10B2"/>
    <w:rsid w:val="008D4B1D"/>
    <w:rsid w:val="008E0409"/>
    <w:rsid w:val="008E1599"/>
    <w:rsid w:val="008E2CF5"/>
    <w:rsid w:val="008F0B41"/>
    <w:rsid w:val="008F190D"/>
    <w:rsid w:val="008F40C4"/>
    <w:rsid w:val="00903896"/>
    <w:rsid w:val="00903912"/>
    <w:rsid w:val="00906F3D"/>
    <w:rsid w:val="0091188E"/>
    <w:rsid w:val="00911B67"/>
    <w:rsid w:val="00911E77"/>
    <w:rsid w:val="00914B4C"/>
    <w:rsid w:val="00920208"/>
    <w:rsid w:val="0092407A"/>
    <w:rsid w:val="00926F55"/>
    <w:rsid w:val="0092725E"/>
    <w:rsid w:val="00927551"/>
    <w:rsid w:val="00927AE3"/>
    <w:rsid w:val="0093396B"/>
    <w:rsid w:val="00934A18"/>
    <w:rsid w:val="009360E6"/>
    <w:rsid w:val="0094230E"/>
    <w:rsid w:val="00943B93"/>
    <w:rsid w:val="0094424E"/>
    <w:rsid w:val="00944359"/>
    <w:rsid w:val="00945C6E"/>
    <w:rsid w:val="00947177"/>
    <w:rsid w:val="009504CD"/>
    <w:rsid w:val="009526DD"/>
    <w:rsid w:val="00955642"/>
    <w:rsid w:val="00955A50"/>
    <w:rsid w:val="00957078"/>
    <w:rsid w:val="009571DB"/>
    <w:rsid w:val="00960E8B"/>
    <w:rsid w:val="009622DF"/>
    <w:rsid w:val="00962770"/>
    <w:rsid w:val="00963CF3"/>
    <w:rsid w:val="0096481D"/>
    <w:rsid w:val="0096493F"/>
    <w:rsid w:val="00965D9A"/>
    <w:rsid w:val="009674A2"/>
    <w:rsid w:val="00967DFF"/>
    <w:rsid w:val="009719CC"/>
    <w:rsid w:val="009752F8"/>
    <w:rsid w:val="0097562C"/>
    <w:rsid w:val="00975C4D"/>
    <w:rsid w:val="009819F8"/>
    <w:rsid w:val="00991F17"/>
    <w:rsid w:val="00993B25"/>
    <w:rsid w:val="00994341"/>
    <w:rsid w:val="00994D97"/>
    <w:rsid w:val="009975C4"/>
    <w:rsid w:val="009A31CF"/>
    <w:rsid w:val="009A5D2C"/>
    <w:rsid w:val="009A6348"/>
    <w:rsid w:val="009A7255"/>
    <w:rsid w:val="009B0426"/>
    <w:rsid w:val="009B1625"/>
    <w:rsid w:val="009B2107"/>
    <w:rsid w:val="009B2210"/>
    <w:rsid w:val="009B327D"/>
    <w:rsid w:val="009B3CF6"/>
    <w:rsid w:val="009B48E8"/>
    <w:rsid w:val="009B6701"/>
    <w:rsid w:val="009B7706"/>
    <w:rsid w:val="009C4F7C"/>
    <w:rsid w:val="009C7025"/>
    <w:rsid w:val="009D1A48"/>
    <w:rsid w:val="009D39F4"/>
    <w:rsid w:val="009D5BC3"/>
    <w:rsid w:val="009D7EE5"/>
    <w:rsid w:val="009E1CE7"/>
    <w:rsid w:val="009E3792"/>
    <w:rsid w:val="009E4EA5"/>
    <w:rsid w:val="009F00A1"/>
    <w:rsid w:val="009F164B"/>
    <w:rsid w:val="009F2195"/>
    <w:rsid w:val="009F2912"/>
    <w:rsid w:val="009F3164"/>
    <w:rsid w:val="009F323C"/>
    <w:rsid w:val="009F6FD1"/>
    <w:rsid w:val="00A0206B"/>
    <w:rsid w:val="00A02FA6"/>
    <w:rsid w:val="00A03150"/>
    <w:rsid w:val="00A0386D"/>
    <w:rsid w:val="00A04447"/>
    <w:rsid w:val="00A051DC"/>
    <w:rsid w:val="00A11F74"/>
    <w:rsid w:val="00A21F96"/>
    <w:rsid w:val="00A24C04"/>
    <w:rsid w:val="00A25315"/>
    <w:rsid w:val="00A307F6"/>
    <w:rsid w:val="00A31107"/>
    <w:rsid w:val="00A3392B"/>
    <w:rsid w:val="00A34160"/>
    <w:rsid w:val="00A34BC9"/>
    <w:rsid w:val="00A37926"/>
    <w:rsid w:val="00A42F15"/>
    <w:rsid w:val="00A43CCD"/>
    <w:rsid w:val="00A44F1D"/>
    <w:rsid w:val="00A456E4"/>
    <w:rsid w:val="00A56871"/>
    <w:rsid w:val="00A61899"/>
    <w:rsid w:val="00A61A1C"/>
    <w:rsid w:val="00A63CF2"/>
    <w:rsid w:val="00A64116"/>
    <w:rsid w:val="00A64975"/>
    <w:rsid w:val="00A67433"/>
    <w:rsid w:val="00A7013A"/>
    <w:rsid w:val="00A73935"/>
    <w:rsid w:val="00A766F7"/>
    <w:rsid w:val="00A77B69"/>
    <w:rsid w:val="00A830B2"/>
    <w:rsid w:val="00A83421"/>
    <w:rsid w:val="00A859C4"/>
    <w:rsid w:val="00A85BF2"/>
    <w:rsid w:val="00A85E34"/>
    <w:rsid w:val="00A91032"/>
    <w:rsid w:val="00A9144F"/>
    <w:rsid w:val="00A944A9"/>
    <w:rsid w:val="00A94B64"/>
    <w:rsid w:val="00A968DA"/>
    <w:rsid w:val="00AA01FE"/>
    <w:rsid w:val="00AA2177"/>
    <w:rsid w:val="00AA3229"/>
    <w:rsid w:val="00AA7596"/>
    <w:rsid w:val="00AB42D9"/>
    <w:rsid w:val="00AB4792"/>
    <w:rsid w:val="00AB511C"/>
    <w:rsid w:val="00AB5E52"/>
    <w:rsid w:val="00AB6165"/>
    <w:rsid w:val="00AC3B02"/>
    <w:rsid w:val="00AC3B7B"/>
    <w:rsid w:val="00AC5209"/>
    <w:rsid w:val="00AD1C5E"/>
    <w:rsid w:val="00AD3323"/>
    <w:rsid w:val="00AD4ADD"/>
    <w:rsid w:val="00AE0E34"/>
    <w:rsid w:val="00AE2DBB"/>
    <w:rsid w:val="00AE675F"/>
    <w:rsid w:val="00AE729E"/>
    <w:rsid w:val="00AE7752"/>
    <w:rsid w:val="00AF4707"/>
    <w:rsid w:val="00AF7FDA"/>
    <w:rsid w:val="00B009DF"/>
    <w:rsid w:val="00B00A3D"/>
    <w:rsid w:val="00B032EF"/>
    <w:rsid w:val="00B0352F"/>
    <w:rsid w:val="00B04F82"/>
    <w:rsid w:val="00B051C7"/>
    <w:rsid w:val="00B11F7C"/>
    <w:rsid w:val="00B12A63"/>
    <w:rsid w:val="00B1484D"/>
    <w:rsid w:val="00B218A5"/>
    <w:rsid w:val="00B2574A"/>
    <w:rsid w:val="00B26B1C"/>
    <w:rsid w:val="00B31B36"/>
    <w:rsid w:val="00B36B7C"/>
    <w:rsid w:val="00B37535"/>
    <w:rsid w:val="00B40B7D"/>
    <w:rsid w:val="00B44DC1"/>
    <w:rsid w:val="00B501FD"/>
    <w:rsid w:val="00B502D9"/>
    <w:rsid w:val="00B507E0"/>
    <w:rsid w:val="00B50917"/>
    <w:rsid w:val="00B5356E"/>
    <w:rsid w:val="00B563B2"/>
    <w:rsid w:val="00B63285"/>
    <w:rsid w:val="00B63664"/>
    <w:rsid w:val="00B63B40"/>
    <w:rsid w:val="00B7045A"/>
    <w:rsid w:val="00B72687"/>
    <w:rsid w:val="00B7439D"/>
    <w:rsid w:val="00B77925"/>
    <w:rsid w:val="00B809AD"/>
    <w:rsid w:val="00B80CBD"/>
    <w:rsid w:val="00B813E6"/>
    <w:rsid w:val="00B82ED5"/>
    <w:rsid w:val="00B8452A"/>
    <w:rsid w:val="00B85A70"/>
    <w:rsid w:val="00B86096"/>
    <w:rsid w:val="00B87AE3"/>
    <w:rsid w:val="00B92ECE"/>
    <w:rsid w:val="00B94B4B"/>
    <w:rsid w:val="00B964D9"/>
    <w:rsid w:val="00B964FA"/>
    <w:rsid w:val="00B968A6"/>
    <w:rsid w:val="00BA0A7C"/>
    <w:rsid w:val="00BA1DB6"/>
    <w:rsid w:val="00BA517C"/>
    <w:rsid w:val="00BA5EF2"/>
    <w:rsid w:val="00BA6E29"/>
    <w:rsid w:val="00BA7FB6"/>
    <w:rsid w:val="00BB3030"/>
    <w:rsid w:val="00BB3AFE"/>
    <w:rsid w:val="00BB3D05"/>
    <w:rsid w:val="00BB4AF1"/>
    <w:rsid w:val="00BB5080"/>
    <w:rsid w:val="00BB550C"/>
    <w:rsid w:val="00BB73BE"/>
    <w:rsid w:val="00BC0EDE"/>
    <w:rsid w:val="00BC28CF"/>
    <w:rsid w:val="00BC2D89"/>
    <w:rsid w:val="00BC5207"/>
    <w:rsid w:val="00BC53D5"/>
    <w:rsid w:val="00BD34D6"/>
    <w:rsid w:val="00BD4244"/>
    <w:rsid w:val="00BD5D0E"/>
    <w:rsid w:val="00BD6531"/>
    <w:rsid w:val="00BD6C28"/>
    <w:rsid w:val="00BD6FBE"/>
    <w:rsid w:val="00BD7A0E"/>
    <w:rsid w:val="00BE0152"/>
    <w:rsid w:val="00BE05B2"/>
    <w:rsid w:val="00BE09A6"/>
    <w:rsid w:val="00BE142A"/>
    <w:rsid w:val="00BE2E7C"/>
    <w:rsid w:val="00BE5E8F"/>
    <w:rsid w:val="00BF106B"/>
    <w:rsid w:val="00BF1908"/>
    <w:rsid w:val="00C01D90"/>
    <w:rsid w:val="00C04C98"/>
    <w:rsid w:val="00C06BE3"/>
    <w:rsid w:val="00C13BD7"/>
    <w:rsid w:val="00C14A2D"/>
    <w:rsid w:val="00C210A6"/>
    <w:rsid w:val="00C212D6"/>
    <w:rsid w:val="00C22D93"/>
    <w:rsid w:val="00C23458"/>
    <w:rsid w:val="00C25905"/>
    <w:rsid w:val="00C268AF"/>
    <w:rsid w:val="00C31120"/>
    <w:rsid w:val="00C319AF"/>
    <w:rsid w:val="00C34482"/>
    <w:rsid w:val="00C41EA9"/>
    <w:rsid w:val="00C43648"/>
    <w:rsid w:val="00C4476F"/>
    <w:rsid w:val="00C44815"/>
    <w:rsid w:val="00C45339"/>
    <w:rsid w:val="00C477F2"/>
    <w:rsid w:val="00C5087C"/>
    <w:rsid w:val="00C50A9F"/>
    <w:rsid w:val="00C5146B"/>
    <w:rsid w:val="00C52977"/>
    <w:rsid w:val="00C52A14"/>
    <w:rsid w:val="00C53933"/>
    <w:rsid w:val="00C56C85"/>
    <w:rsid w:val="00C612C0"/>
    <w:rsid w:val="00C642FA"/>
    <w:rsid w:val="00C65E4F"/>
    <w:rsid w:val="00C66865"/>
    <w:rsid w:val="00C712E6"/>
    <w:rsid w:val="00C71754"/>
    <w:rsid w:val="00C719AE"/>
    <w:rsid w:val="00C77FF1"/>
    <w:rsid w:val="00C82550"/>
    <w:rsid w:val="00C84FB0"/>
    <w:rsid w:val="00CA33BC"/>
    <w:rsid w:val="00CA4DCF"/>
    <w:rsid w:val="00CA5F54"/>
    <w:rsid w:val="00CA68B7"/>
    <w:rsid w:val="00CB12C0"/>
    <w:rsid w:val="00CB5426"/>
    <w:rsid w:val="00CB5466"/>
    <w:rsid w:val="00CB609C"/>
    <w:rsid w:val="00CB787B"/>
    <w:rsid w:val="00CB7B50"/>
    <w:rsid w:val="00CB7E5B"/>
    <w:rsid w:val="00CC0422"/>
    <w:rsid w:val="00CC54CF"/>
    <w:rsid w:val="00CC553A"/>
    <w:rsid w:val="00CC5DC2"/>
    <w:rsid w:val="00CC7622"/>
    <w:rsid w:val="00CD429E"/>
    <w:rsid w:val="00CD4FFA"/>
    <w:rsid w:val="00CD608F"/>
    <w:rsid w:val="00CD692E"/>
    <w:rsid w:val="00CE2144"/>
    <w:rsid w:val="00CE490E"/>
    <w:rsid w:val="00CE5F33"/>
    <w:rsid w:val="00CE5FC0"/>
    <w:rsid w:val="00CF6BB7"/>
    <w:rsid w:val="00D04AA4"/>
    <w:rsid w:val="00D16D17"/>
    <w:rsid w:val="00D20637"/>
    <w:rsid w:val="00D21E37"/>
    <w:rsid w:val="00D25046"/>
    <w:rsid w:val="00D27115"/>
    <w:rsid w:val="00D27325"/>
    <w:rsid w:val="00D27982"/>
    <w:rsid w:val="00D30C51"/>
    <w:rsid w:val="00D327A2"/>
    <w:rsid w:val="00D33B86"/>
    <w:rsid w:val="00D343C0"/>
    <w:rsid w:val="00D40F8F"/>
    <w:rsid w:val="00D42FB4"/>
    <w:rsid w:val="00D43629"/>
    <w:rsid w:val="00D44968"/>
    <w:rsid w:val="00D44B8C"/>
    <w:rsid w:val="00D44E40"/>
    <w:rsid w:val="00D5085B"/>
    <w:rsid w:val="00D5202E"/>
    <w:rsid w:val="00D53924"/>
    <w:rsid w:val="00D54D3B"/>
    <w:rsid w:val="00D55D0C"/>
    <w:rsid w:val="00D57F84"/>
    <w:rsid w:val="00D65811"/>
    <w:rsid w:val="00D65AB2"/>
    <w:rsid w:val="00D660C7"/>
    <w:rsid w:val="00D674AF"/>
    <w:rsid w:val="00D67D8E"/>
    <w:rsid w:val="00D744AC"/>
    <w:rsid w:val="00D74B30"/>
    <w:rsid w:val="00D757C7"/>
    <w:rsid w:val="00D76343"/>
    <w:rsid w:val="00D81E5B"/>
    <w:rsid w:val="00D8306B"/>
    <w:rsid w:val="00D92BD1"/>
    <w:rsid w:val="00D95291"/>
    <w:rsid w:val="00D955EC"/>
    <w:rsid w:val="00D96D8C"/>
    <w:rsid w:val="00D97489"/>
    <w:rsid w:val="00DA1F6F"/>
    <w:rsid w:val="00DA2E7F"/>
    <w:rsid w:val="00DA3D6F"/>
    <w:rsid w:val="00DA6649"/>
    <w:rsid w:val="00DA70E3"/>
    <w:rsid w:val="00DA7647"/>
    <w:rsid w:val="00DB10AC"/>
    <w:rsid w:val="00DB682D"/>
    <w:rsid w:val="00DC0DBB"/>
    <w:rsid w:val="00DC1259"/>
    <w:rsid w:val="00DC1BD2"/>
    <w:rsid w:val="00DC2571"/>
    <w:rsid w:val="00DC487C"/>
    <w:rsid w:val="00DC57A7"/>
    <w:rsid w:val="00DD17AB"/>
    <w:rsid w:val="00DD4335"/>
    <w:rsid w:val="00DE0070"/>
    <w:rsid w:val="00DE1E7D"/>
    <w:rsid w:val="00DE5989"/>
    <w:rsid w:val="00DE6BF6"/>
    <w:rsid w:val="00DF3F41"/>
    <w:rsid w:val="00E00709"/>
    <w:rsid w:val="00E06186"/>
    <w:rsid w:val="00E1068A"/>
    <w:rsid w:val="00E12177"/>
    <w:rsid w:val="00E13BB0"/>
    <w:rsid w:val="00E20667"/>
    <w:rsid w:val="00E21AAD"/>
    <w:rsid w:val="00E22138"/>
    <w:rsid w:val="00E256CD"/>
    <w:rsid w:val="00E25884"/>
    <w:rsid w:val="00E25B55"/>
    <w:rsid w:val="00E26C2B"/>
    <w:rsid w:val="00E27DE2"/>
    <w:rsid w:val="00E31C2B"/>
    <w:rsid w:val="00E40040"/>
    <w:rsid w:val="00E40602"/>
    <w:rsid w:val="00E50DFB"/>
    <w:rsid w:val="00E53E18"/>
    <w:rsid w:val="00E5426A"/>
    <w:rsid w:val="00E54642"/>
    <w:rsid w:val="00E54BB0"/>
    <w:rsid w:val="00E568A0"/>
    <w:rsid w:val="00E56DCD"/>
    <w:rsid w:val="00E601A8"/>
    <w:rsid w:val="00E61B8C"/>
    <w:rsid w:val="00E64889"/>
    <w:rsid w:val="00E707A4"/>
    <w:rsid w:val="00E719E6"/>
    <w:rsid w:val="00E773E2"/>
    <w:rsid w:val="00E77D4B"/>
    <w:rsid w:val="00E77D5A"/>
    <w:rsid w:val="00E80CBE"/>
    <w:rsid w:val="00E83042"/>
    <w:rsid w:val="00E9269D"/>
    <w:rsid w:val="00E93CDA"/>
    <w:rsid w:val="00E962E3"/>
    <w:rsid w:val="00EA2196"/>
    <w:rsid w:val="00EA4D0A"/>
    <w:rsid w:val="00EA7101"/>
    <w:rsid w:val="00EB46C6"/>
    <w:rsid w:val="00EB4F57"/>
    <w:rsid w:val="00EB6245"/>
    <w:rsid w:val="00EB6C79"/>
    <w:rsid w:val="00EC04A2"/>
    <w:rsid w:val="00EC2001"/>
    <w:rsid w:val="00EC2E1F"/>
    <w:rsid w:val="00EC37E9"/>
    <w:rsid w:val="00EC3A24"/>
    <w:rsid w:val="00EC590C"/>
    <w:rsid w:val="00EC7A46"/>
    <w:rsid w:val="00ED169A"/>
    <w:rsid w:val="00ED30DE"/>
    <w:rsid w:val="00ED3549"/>
    <w:rsid w:val="00EE1EBA"/>
    <w:rsid w:val="00EE793B"/>
    <w:rsid w:val="00EF38DF"/>
    <w:rsid w:val="00EF50F5"/>
    <w:rsid w:val="00EF60CA"/>
    <w:rsid w:val="00F0128F"/>
    <w:rsid w:val="00F038D8"/>
    <w:rsid w:val="00F06995"/>
    <w:rsid w:val="00F11CFB"/>
    <w:rsid w:val="00F12771"/>
    <w:rsid w:val="00F12D66"/>
    <w:rsid w:val="00F13623"/>
    <w:rsid w:val="00F1679C"/>
    <w:rsid w:val="00F21BDD"/>
    <w:rsid w:val="00F25DDC"/>
    <w:rsid w:val="00F26235"/>
    <w:rsid w:val="00F312ED"/>
    <w:rsid w:val="00F3365C"/>
    <w:rsid w:val="00F34AA1"/>
    <w:rsid w:val="00F3632D"/>
    <w:rsid w:val="00F3633F"/>
    <w:rsid w:val="00F435F4"/>
    <w:rsid w:val="00F44D1D"/>
    <w:rsid w:val="00F4580F"/>
    <w:rsid w:val="00F51EF2"/>
    <w:rsid w:val="00F621F7"/>
    <w:rsid w:val="00F627E7"/>
    <w:rsid w:val="00F62E25"/>
    <w:rsid w:val="00F649BB"/>
    <w:rsid w:val="00F6675E"/>
    <w:rsid w:val="00F678D8"/>
    <w:rsid w:val="00F67AFB"/>
    <w:rsid w:val="00F72776"/>
    <w:rsid w:val="00F72900"/>
    <w:rsid w:val="00F80187"/>
    <w:rsid w:val="00F802DD"/>
    <w:rsid w:val="00F80A79"/>
    <w:rsid w:val="00F8270D"/>
    <w:rsid w:val="00F84B19"/>
    <w:rsid w:val="00F84B6D"/>
    <w:rsid w:val="00F863D7"/>
    <w:rsid w:val="00F918B6"/>
    <w:rsid w:val="00F957E8"/>
    <w:rsid w:val="00F95D49"/>
    <w:rsid w:val="00F95F88"/>
    <w:rsid w:val="00F973D4"/>
    <w:rsid w:val="00FA311A"/>
    <w:rsid w:val="00FA5FDA"/>
    <w:rsid w:val="00FA60B1"/>
    <w:rsid w:val="00FA636B"/>
    <w:rsid w:val="00FB53A2"/>
    <w:rsid w:val="00FB6AB3"/>
    <w:rsid w:val="00FC1636"/>
    <w:rsid w:val="00FC2FB7"/>
    <w:rsid w:val="00FC7616"/>
    <w:rsid w:val="00FD1419"/>
    <w:rsid w:val="00FD1536"/>
    <w:rsid w:val="00FD61D8"/>
    <w:rsid w:val="00FD75D0"/>
    <w:rsid w:val="00FD75E8"/>
    <w:rsid w:val="00FD79E4"/>
    <w:rsid w:val="00FE2894"/>
    <w:rsid w:val="00FE29C6"/>
    <w:rsid w:val="00FE2AB9"/>
    <w:rsid w:val="00FE3BD1"/>
    <w:rsid w:val="00FE5C78"/>
    <w:rsid w:val="00FF59C2"/>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C687925"/>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4C12"/>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64423"/>
    <w:pPr>
      <w:tabs>
        <w:tab w:val="center" w:pos="4153"/>
        <w:tab w:val="right" w:pos="8306"/>
      </w:tabs>
    </w:pPr>
  </w:style>
  <w:style w:type="paragraph" w:styleId="a5">
    <w:name w:val="footer"/>
    <w:basedOn w:val="a"/>
    <w:rsid w:val="00C64423"/>
    <w:pPr>
      <w:tabs>
        <w:tab w:val="center" w:pos="4153"/>
        <w:tab w:val="right" w:pos="8306"/>
      </w:tabs>
    </w:pPr>
  </w:style>
  <w:style w:type="paragraph" w:customStyle="1" w:styleId="a6">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7">
    <w:name w:val="annotation text"/>
    <w:basedOn w:val="a"/>
    <w:semiHidden/>
    <w:rsid w:val="00C64423"/>
    <w:rPr>
      <w:rFonts w:cs="Times New Roman"/>
      <w:noProof w:val="0"/>
    </w:rPr>
  </w:style>
  <w:style w:type="character" w:styleId="a8">
    <w:name w:val="annotation reference"/>
    <w:basedOn w:val="a0"/>
    <w:semiHidden/>
    <w:rsid w:val="00C64423"/>
    <w:rPr>
      <w:sz w:val="16"/>
      <w:szCs w:val="16"/>
    </w:rPr>
  </w:style>
  <w:style w:type="paragraph" w:styleId="a9">
    <w:name w:val="Balloon Text"/>
    <w:basedOn w:val="a"/>
    <w:semiHidden/>
    <w:rsid w:val="00C64423"/>
    <w:rPr>
      <w:rFonts w:ascii="Tahoma" w:hAnsi="Tahoma" w:cs="Tahoma"/>
      <w:sz w:val="16"/>
      <w:szCs w:val="16"/>
    </w:rPr>
  </w:style>
  <w:style w:type="table" w:styleId="aa">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0"/>
    <w:rsid w:val="00C64423"/>
  </w:style>
  <w:style w:type="character" w:styleId="ac">
    <w:name w:val="page number"/>
    <w:basedOn w:val="a0"/>
    <w:rsid w:val="00C64423"/>
  </w:style>
  <w:style w:type="table" w:customStyle="1" w:styleId="1">
    <w:name w:val="טבלת רשת1"/>
    <w:basedOn w:val="a1"/>
    <w:next w:val="aa"/>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0"/>
    <w:uiPriority w:val="99"/>
    <w:semiHidden/>
    <w:rsid w:val="003230C7"/>
    <w:rPr>
      <w:color w:val="808080"/>
    </w:rPr>
  </w:style>
  <w:style w:type="paragraph" w:styleId="ae">
    <w:name w:val="List Paragraph"/>
    <w:basedOn w:val="a"/>
    <w:uiPriority w:val="34"/>
    <w:qFormat/>
    <w:rsid w:val="00E773E2"/>
    <w:pPr>
      <w:ind w:left="720"/>
      <w:contextualSpacing/>
    </w:pPr>
  </w:style>
  <w:style w:type="character" w:styleId="Hyperlink">
    <w:name w:val="Hyperlink"/>
    <w:basedOn w:val="a0"/>
    <w:uiPriority w:val="99"/>
    <w:semiHidden/>
    <w:unhideWhenUsed/>
    <w:rsid w:val="00A91032"/>
    <w:rPr>
      <w:color w:val="0000FF"/>
      <w:u w:val="single"/>
    </w:rPr>
  </w:style>
  <w:style w:type="paragraph" w:styleId="af">
    <w:name w:val="Title"/>
    <w:basedOn w:val="a"/>
    <w:link w:val="af0"/>
    <w:qFormat/>
    <w:rsid w:val="000232B9"/>
    <w:pPr>
      <w:shd w:val="pct20" w:color="auto" w:fill="FFFFFF"/>
      <w:spacing w:line="480" w:lineRule="auto"/>
      <w:ind w:left="1701" w:hanging="1701"/>
      <w:jc w:val="center"/>
    </w:pPr>
    <w:rPr>
      <w:rFonts w:cs="Times New Roman"/>
      <w:b/>
      <w:bCs/>
      <w:noProof w:val="0"/>
      <w:sz w:val="20"/>
      <w:szCs w:val="28"/>
      <w:u w:val="single"/>
      <w:lang w:eastAsia="he-IL"/>
    </w:rPr>
  </w:style>
  <w:style w:type="character" w:customStyle="1" w:styleId="af0">
    <w:name w:val="כותרת טקסט תו"/>
    <w:basedOn w:val="a0"/>
    <w:link w:val="af"/>
    <w:rsid w:val="000232B9"/>
    <w:rPr>
      <w:b/>
      <w:bCs/>
      <w:szCs w:val="28"/>
      <w:u w:val="single"/>
      <w:shd w:val="pct20" w:color="auto" w:fill="FFFFFF"/>
      <w:lang w:eastAsia="he-IL"/>
    </w:rPr>
  </w:style>
  <w:style w:type="paragraph" w:customStyle="1" w:styleId="10">
    <w:name w:val="פיסקת רשימה1"/>
    <w:basedOn w:val="a"/>
    <w:qFormat/>
    <w:rsid w:val="000232B9"/>
    <w:pPr>
      <w:ind w:left="720"/>
      <w:contextualSpacing/>
    </w:pPr>
  </w:style>
  <w:style w:type="character" w:styleId="af1">
    <w:name w:val="Strong"/>
    <w:basedOn w:val="a0"/>
    <w:qFormat/>
    <w:rsid w:val="009B7706"/>
    <w:rPr>
      <w:b/>
      <w:bCs/>
    </w:rPr>
  </w:style>
  <w:style w:type="character" w:customStyle="1" w:styleId="a4">
    <w:name w:val="כותרת עליונה תו"/>
    <w:basedOn w:val="a0"/>
    <w:link w:val="a3"/>
    <w:uiPriority w:val="99"/>
    <w:rsid w:val="00630366"/>
    <w:rPr>
      <w:rFonts w:cs="David"/>
      <w:noProof/>
      <w:sz w:val="24"/>
      <w:szCs w:val="24"/>
    </w:rPr>
  </w:style>
  <w:style w:type="paragraph" w:customStyle="1" w:styleId="BodyRuller">
    <w:name w:val="Body Ruller"/>
    <w:basedOn w:val="a"/>
    <w:rsid w:val="008F0B41"/>
    <w:pPr>
      <w:overflowPunct w:val="0"/>
      <w:autoSpaceDE w:val="0"/>
      <w:autoSpaceDN w:val="0"/>
      <w:adjustRightInd w:val="0"/>
      <w:textAlignment w:val="baseline"/>
    </w:pPr>
    <w:rPr>
      <w:noProof w:val="0"/>
      <w:sz w:val="22"/>
      <w:szCs w:val="28"/>
    </w:rPr>
  </w:style>
  <w:style w:type="paragraph" w:customStyle="1" w:styleId="Ruller3">
    <w:name w:val="Ruller 3"/>
    <w:basedOn w:val="a"/>
    <w:rsid w:val="008F0B41"/>
    <w:pPr>
      <w:tabs>
        <w:tab w:val="left" w:pos="3210"/>
        <w:tab w:val="left" w:pos="6753"/>
      </w:tabs>
      <w:overflowPunct w:val="0"/>
      <w:autoSpaceDE w:val="0"/>
      <w:autoSpaceDN w:val="0"/>
      <w:adjustRightInd w:val="0"/>
      <w:spacing w:line="360" w:lineRule="auto"/>
      <w:textAlignment w:val="baseline"/>
    </w:pPr>
    <w:rPr>
      <w:rFonts w:cs="FrankRuehl"/>
      <w:noProof w:val="0"/>
      <w:spacing w:val="10"/>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40211">
      <w:bodyDiv w:val="1"/>
      <w:marLeft w:val="0"/>
      <w:marRight w:val="0"/>
      <w:marTop w:val="0"/>
      <w:marBottom w:val="0"/>
      <w:divBdr>
        <w:top w:val="none" w:sz="0" w:space="0" w:color="auto"/>
        <w:left w:val="none" w:sz="0" w:space="0" w:color="auto"/>
        <w:bottom w:val="none" w:sz="0" w:space="0" w:color="auto"/>
        <w:right w:val="none" w:sz="0" w:space="0" w:color="auto"/>
      </w:divBdr>
    </w:div>
    <w:div w:id="14962846">
      <w:bodyDiv w:val="1"/>
      <w:marLeft w:val="0"/>
      <w:marRight w:val="0"/>
      <w:marTop w:val="0"/>
      <w:marBottom w:val="0"/>
      <w:divBdr>
        <w:top w:val="none" w:sz="0" w:space="0" w:color="auto"/>
        <w:left w:val="none" w:sz="0" w:space="0" w:color="auto"/>
        <w:bottom w:val="none" w:sz="0" w:space="0" w:color="auto"/>
        <w:right w:val="none" w:sz="0" w:space="0" w:color="auto"/>
      </w:divBdr>
    </w:div>
    <w:div w:id="38435913">
      <w:bodyDiv w:val="1"/>
      <w:marLeft w:val="0"/>
      <w:marRight w:val="0"/>
      <w:marTop w:val="0"/>
      <w:marBottom w:val="0"/>
      <w:divBdr>
        <w:top w:val="none" w:sz="0" w:space="0" w:color="auto"/>
        <w:left w:val="none" w:sz="0" w:space="0" w:color="auto"/>
        <w:bottom w:val="none" w:sz="0" w:space="0" w:color="auto"/>
        <w:right w:val="none" w:sz="0" w:space="0" w:color="auto"/>
      </w:divBdr>
    </w:div>
    <w:div w:id="42563713">
      <w:bodyDiv w:val="1"/>
      <w:marLeft w:val="0"/>
      <w:marRight w:val="0"/>
      <w:marTop w:val="0"/>
      <w:marBottom w:val="0"/>
      <w:divBdr>
        <w:top w:val="none" w:sz="0" w:space="0" w:color="auto"/>
        <w:left w:val="none" w:sz="0" w:space="0" w:color="auto"/>
        <w:bottom w:val="none" w:sz="0" w:space="0" w:color="auto"/>
        <w:right w:val="none" w:sz="0" w:space="0" w:color="auto"/>
      </w:divBdr>
    </w:div>
    <w:div w:id="56126321">
      <w:bodyDiv w:val="1"/>
      <w:marLeft w:val="0"/>
      <w:marRight w:val="0"/>
      <w:marTop w:val="0"/>
      <w:marBottom w:val="0"/>
      <w:divBdr>
        <w:top w:val="none" w:sz="0" w:space="0" w:color="auto"/>
        <w:left w:val="none" w:sz="0" w:space="0" w:color="auto"/>
        <w:bottom w:val="none" w:sz="0" w:space="0" w:color="auto"/>
        <w:right w:val="none" w:sz="0" w:space="0" w:color="auto"/>
      </w:divBdr>
    </w:div>
    <w:div w:id="86536555">
      <w:bodyDiv w:val="1"/>
      <w:marLeft w:val="0"/>
      <w:marRight w:val="0"/>
      <w:marTop w:val="0"/>
      <w:marBottom w:val="0"/>
      <w:divBdr>
        <w:top w:val="none" w:sz="0" w:space="0" w:color="auto"/>
        <w:left w:val="none" w:sz="0" w:space="0" w:color="auto"/>
        <w:bottom w:val="none" w:sz="0" w:space="0" w:color="auto"/>
        <w:right w:val="none" w:sz="0" w:space="0" w:color="auto"/>
      </w:divBdr>
    </w:div>
    <w:div w:id="124810379">
      <w:bodyDiv w:val="1"/>
      <w:marLeft w:val="0"/>
      <w:marRight w:val="0"/>
      <w:marTop w:val="0"/>
      <w:marBottom w:val="0"/>
      <w:divBdr>
        <w:top w:val="none" w:sz="0" w:space="0" w:color="auto"/>
        <w:left w:val="none" w:sz="0" w:space="0" w:color="auto"/>
        <w:bottom w:val="none" w:sz="0" w:space="0" w:color="auto"/>
        <w:right w:val="none" w:sz="0" w:space="0" w:color="auto"/>
      </w:divBdr>
    </w:div>
    <w:div w:id="141777875">
      <w:bodyDiv w:val="1"/>
      <w:marLeft w:val="0"/>
      <w:marRight w:val="0"/>
      <w:marTop w:val="0"/>
      <w:marBottom w:val="0"/>
      <w:divBdr>
        <w:top w:val="none" w:sz="0" w:space="0" w:color="auto"/>
        <w:left w:val="none" w:sz="0" w:space="0" w:color="auto"/>
        <w:bottom w:val="none" w:sz="0" w:space="0" w:color="auto"/>
        <w:right w:val="none" w:sz="0" w:space="0" w:color="auto"/>
      </w:divBdr>
    </w:div>
    <w:div w:id="179509822">
      <w:bodyDiv w:val="1"/>
      <w:marLeft w:val="0"/>
      <w:marRight w:val="0"/>
      <w:marTop w:val="0"/>
      <w:marBottom w:val="0"/>
      <w:divBdr>
        <w:top w:val="none" w:sz="0" w:space="0" w:color="auto"/>
        <w:left w:val="none" w:sz="0" w:space="0" w:color="auto"/>
        <w:bottom w:val="none" w:sz="0" w:space="0" w:color="auto"/>
        <w:right w:val="none" w:sz="0" w:space="0" w:color="auto"/>
      </w:divBdr>
    </w:div>
    <w:div w:id="284652940">
      <w:bodyDiv w:val="1"/>
      <w:marLeft w:val="0"/>
      <w:marRight w:val="0"/>
      <w:marTop w:val="0"/>
      <w:marBottom w:val="0"/>
      <w:divBdr>
        <w:top w:val="none" w:sz="0" w:space="0" w:color="auto"/>
        <w:left w:val="none" w:sz="0" w:space="0" w:color="auto"/>
        <w:bottom w:val="none" w:sz="0" w:space="0" w:color="auto"/>
        <w:right w:val="none" w:sz="0" w:space="0" w:color="auto"/>
      </w:divBdr>
    </w:div>
    <w:div w:id="289676575">
      <w:bodyDiv w:val="1"/>
      <w:marLeft w:val="0"/>
      <w:marRight w:val="0"/>
      <w:marTop w:val="0"/>
      <w:marBottom w:val="0"/>
      <w:divBdr>
        <w:top w:val="none" w:sz="0" w:space="0" w:color="auto"/>
        <w:left w:val="none" w:sz="0" w:space="0" w:color="auto"/>
        <w:bottom w:val="none" w:sz="0" w:space="0" w:color="auto"/>
        <w:right w:val="none" w:sz="0" w:space="0" w:color="auto"/>
      </w:divBdr>
    </w:div>
    <w:div w:id="340547758">
      <w:bodyDiv w:val="1"/>
      <w:marLeft w:val="0"/>
      <w:marRight w:val="0"/>
      <w:marTop w:val="0"/>
      <w:marBottom w:val="0"/>
      <w:divBdr>
        <w:top w:val="none" w:sz="0" w:space="0" w:color="auto"/>
        <w:left w:val="none" w:sz="0" w:space="0" w:color="auto"/>
        <w:bottom w:val="none" w:sz="0" w:space="0" w:color="auto"/>
        <w:right w:val="none" w:sz="0" w:space="0" w:color="auto"/>
      </w:divBdr>
    </w:div>
    <w:div w:id="373047588">
      <w:bodyDiv w:val="1"/>
      <w:marLeft w:val="0"/>
      <w:marRight w:val="0"/>
      <w:marTop w:val="0"/>
      <w:marBottom w:val="0"/>
      <w:divBdr>
        <w:top w:val="none" w:sz="0" w:space="0" w:color="auto"/>
        <w:left w:val="none" w:sz="0" w:space="0" w:color="auto"/>
        <w:bottom w:val="none" w:sz="0" w:space="0" w:color="auto"/>
        <w:right w:val="none" w:sz="0" w:space="0" w:color="auto"/>
      </w:divBdr>
    </w:div>
    <w:div w:id="420491260">
      <w:bodyDiv w:val="1"/>
      <w:marLeft w:val="0"/>
      <w:marRight w:val="0"/>
      <w:marTop w:val="0"/>
      <w:marBottom w:val="0"/>
      <w:divBdr>
        <w:top w:val="none" w:sz="0" w:space="0" w:color="auto"/>
        <w:left w:val="none" w:sz="0" w:space="0" w:color="auto"/>
        <w:bottom w:val="none" w:sz="0" w:space="0" w:color="auto"/>
        <w:right w:val="none" w:sz="0" w:space="0" w:color="auto"/>
      </w:divBdr>
    </w:div>
    <w:div w:id="446313747">
      <w:bodyDiv w:val="1"/>
      <w:marLeft w:val="0"/>
      <w:marRight w:val="0"/>
      <w:marTop w:val="0"/>
      <w:marBottom w:val="0"/>
      <w:divBdr>
        <w:top w:val="none" w:sz="0" w:space="0" w:color="auto"/>
        <w:left w:val="none" w:sz="0" w:space="0" w:color="auto"/>
        <w:bottom w:val="none" w:sz="0" w:space="0" w:color="auto"/>
        <w:right w:val="none" w:sz="0" w:space="0" w:color="auto"/>
      </w:divBdr>
    </w:div>
    <w:div w:id="462694620">
      <w:bodyDiv w:val="1"/>
      <w:marLeft w:val="0"/>
      <w:marRight w:val="0"/>
      <w:marTop w:val="0"/>
      <w:marBottom w:val="0"/>
      <w:divBdr>
        <w:top w:val="none" w:sz="0" w:space="0" w:color="auto"/>
        <w:left w:val="none" w:sz="0" w:space="0" w:color="auto"/>
        <w:bottom w:val="none" w:sz="0" w:space="0" w:color="auto"/>
        <w:right w:val="none" w:sz="0" w:space="0" w:color="auto"/>
      </w:divBdr>
    </w:div>
    <w:div w:id="484399063">
      <w:bodyDiv w:val="1"/>
      <w:marLeft w:val="0"/>
      <w:marRight w:val="0"/>
      <w:marTop w:val="0"/>
      <w:marBottom w:val="0"/>
      <w:divBdr>
        <w:top w:val="none" w:sz="0" w:space="0" w:color="auto"/>
        <w:left w:val="none" w:sz="0" w:space="0" w:color="auto"/>
        <w:bottom w:val="none" w:sz="0" w:space="0" w:color="auto"/>
        <w:right w:val="none" w:sz="0" w:space="0" w:color="auto"/>
      </w:divBdr>
    </w:div>
    <w:div w:id="568880261">
      <w:bodyDiv w:val="1"/>
      <w:marLeft w:val="0"/>
      <w:marRight w:val="0"/>
      <w:marTop w:val="0"/>
      <w:marBottom w:val="0"/>
      <w:divBdr>
        <w:top w:val="none" w:sz="0" w:space="0" w:color="auto"/>
        <w:left w:val="none" w:sz="0" w:space="0" w:color="auto"/>
        <w:bottom w:val="none" w:sz="0" w:space="0" w:color="auto"/>
        <w:right w:val="none" w:sz="0" w:space="0" w:color="auto"/>
      </w:divBdr>
    </w:div>
    <w:div w:id="696781263">
      <w:bodyDiv w:val="1"/>
      <w:marLeft w:val="0"/>
      <w:marRight w:val="0"/>
      <w:marTop w:val="0"/>
      <w:marBottom w:val="0"/>
      <w:divBdr>
        <w:top w:val="none" w:sz="0" w:space="0" w:color="auto"/>
        <w:left w:val="none" w:sz="0" w:space="0" w:color="auto"/>
        <w:bottom w:val="none" w:sz="0" w:space="0" w:color="auto"/>
        <w:right w:val="none" w:sz="0" w:space="0" w:color="auto"/>
      </w:divBdr>
    </w:div>
    <w:div w:id="787547099">
      <w:bodyDiv w:val="1"/>
      <w:marLeft w:val="0"/>
      <w:marRight w:val="0"/>
      <w:marTop w:val="0"/>
      <w:marBottom w:val="0"/>
      <w:divBdr>
        <w:top w:val="none" w:sz="0" w:space="0" w:color="auto"/>
        <w:left w:val="none" w:sz="0" w:space="0" w:color="auto"/>
        <w:bottom w:val="none" w:sz="0" w:space="0" w:color="auto"/>
        <w:right w:val="none" w:sz="0" w:space="0" w:color="auto"/>
      </w:divBdr>
    </w:div>
    <w:div w:id="852721272">
      <w:bodyDiv w:val="1"/>
      <w:marLeft w:val="0"/>
      <w:marRight w:val="0"/>
      <w:marTop w:val="0"/>
      <w:marBottom w:val="0"/>
      <w:divBdr>
        <w:top w:val="none" w:sz="0" w:space="0" w:color="auto"/>
        <w:left w:val="none" w:sz="0" w:space="0" w:color="auto"/>
        <w:bottom w:val="none" w:sz="0" w:space="0" w:color="auto"/>
        <w:right w:val="none" w:sz="0" w:space="0" w:color="auto"/>
      </w:divBdr>
    </w:div>
    <w:div w:id="856775492">
      <w:bodyDiv w:val="1"/>
      <w:marLeft w:val="0"/>
      <w:marRight w:val="0"/>
      <w:marTop w:val="0"/>
      <w:marBottom w:val="0"/>
      <w:divBdr>
        <w:top w:val="none" w:sz="0" w:space="0" w:color="auto"/>
        <w:left w:val="none" w:sz="0" w:space="0" w:color="auto"/>
        <w:bottom w:val="none" w:sz="0" w:space="0" w:color="auto"/>
        <w:right w:val="none" w:sz="0" w:space="0" w:color="auto"/>
      </w:divBdr>
    </w:div>
    <w:div w:id="919824670">
      <w:bodyDiv w:val="1"/>
      <w:marLeft w:val="0"/>
      <w:marRight w:val="0"/>
      <w:marTop w:val="0"/>
      <w:marBottom w:val="0"/>
      <w:divBdr>
        <w:top w:val="none" w:sz="0" w:space="0" w:color="auto"/>
        <w:left w:val="none" w:sz="0" w:space="0" w:color="auto"/>
        <w:bottom w:val="none" w:sz="0" w:space="0" w:color="auto"/>
        <w:right w:val="none" w:sz="0" w:space="0" w:color="auto"/>
      </w:divBdr>
    </w:div>
    <w:div w:id="996034384">
      <w:bodyDiv w:val="1"/>
      <w:marLeft w:val="0"/>
      <w:marRight w:val="0"/>
      <w:marTop w:val="0"/>
      <w:marBottom w:val="0"/>
      <w:divBdr>
        <w:top w:val="none" w:sz="0" w:space="0" w:color="auto"/>
        <w:left w:val="none" w:sz="0" w:space="0" w:color="auto"/>
        <w:bottom w:val="none" w:sz="0" w:space="0" w:color="auto"/>
        <w:right w:val="none" w:sz="0" w:space="0" w:color="auto"/>
      </w:divBdr>
    </w:div>
    <w:div w:id="1029767396">
      <w:bodyDiv w:val="1"/>
      <w:marLeft w:val="0"/>
      <w:marRight w:val="0"/>
      <w:marTop w:val="0"/>
      <w:marBottom w:val="0"/>
      <w:divBdr>
        <w:top w:val="none" w:sz="0" w:space="0" w:color="auto"/>
        <w:left w:val="none" w:sz="0" w:space="0" w:color="auto"/>
        <w:bottom w:val="none" w:sz="0" w:space="0" w:color="auto"/>
        <w:right w:val="none" w:sz="0" w:space="0" w:color="auto"/>
      </w:divBdr>
    </w:div>
    <w:div w:id="1039206738">
      <w:bodyDiv w:val="1"/>
      <w:marLeft w:val="0"/>
      <w:marRight w:val="0"/>
      <w:marTop w:val="0"/>
      <w:marBottom w:val="0"/>
      <w:divBdr>
        <w:top w:val="none" w:sz="0" w:space="0" w:color="auto"/>
        <w:left w:val="none" w:sz="0" w:space="0" w:color="auto"/>
        <w:bottom w:val="none" w:sz="0" w:space="0" w:color="auto"/>
        <w:right w:val="none" w:sz="0" w:space="0" w:color="auto"/>
      </w:divBdr>
    </w:div>
    <w:div w:id="1079909691">
      <w:bodyDiv w:val="1"/>
      <w:marLeft w:val="0"/>
      <w:marRight w:val="0"/>
      <w:marTop w:val="0"/>
      <w:marBottom w:val="0"/>
      <w:divBdr>
        <w:top w:val="none" w:sz="0" w:space="0" w:color="auto"/>
        <w:left w:val="none" w:sz="0" w:space="0" w:color="auto"/>
        <w:bottom w:val="none" w:sz="0" w:space="0" w:color="auto"/>
        <w:right w:val="none" w:sz="0" w:space="0" w:color="auto"/>
      </w:divBdr>
    </w:div>
    <w:div w:id="1108964179">
      <w:bodyDiv w:val="1"/>
      <w:marLeft w:val="0"/>
      <w:marRight w:val="0"/>
      <w:marTop w:val="0"/>
      <w:marBottom w:val="0"/>
      <w:divBdr>
        <w:top w:val="none" w:sz="0" w:space="0" w:color="auto"/>
        <w:left w:val="none" w:sz="0" w:space="0" w:color="auto"/>
        <w:bottom w:val="none" w:sz="0" w:space="0" w:color="auto"/>
        <w:right w:val="none" w:sz="0" w:space="0" w:color="auto"/>
      </w:divBdr>
    </w:div>
    <w:div w:id="1139616275">
      <w:bodyDiv w:val="1"/>
      <w:marLeft w:val="0"/>
      <w:marRight w:val="0"/>
      <w:marTop w:val="0"/>
      <w:marBottom w:val="0"/>
      <w:divBdr>
        <w:top w:val="none" w:sz="0" w:space="0" w:color="auto"/>
        <w:left w:val="none" w:sz="0" w:space="0" w:color="auto"/>
        <w:bottom w:val="none" w:sz="0" w:space="0" w:color="auto"/>
        <w:right w:val="none" w:sz="0" w:space="0" w:color="auto"/>
      </w:divBdr>
    </w:div>
    <w:div w:id="1157380665">
      <w:bodyDiv w:val="1"/>
      <w:marLeft w:val="0"/>
      <w:marRight w:val="0"/>
      <w:marTop w:val="0"/>
      <w:marBottom w:val="0"/>
      <w:divBdr>
        <w:top w:val="none" w:sz="0" w:space="0" w:color="auto"/>
        <w:left w:val="none" w:sz="0" w:space="0" w:color="auto"/>
        <w:bottom w:val="none" w:sz="0" w:space="0" w:color="auto"/>
        <w:right w:val="none" w:sz="0" w:space="0" w:color="auto"/>
      </w:divBdr>
    </w:div>
    <w:div w:id="1180506573">
      <w:bodyDiv w:val="1"/>
      <w:marLeft w:val="0"/>
      <w:marRight w:val="0"/>
      <w:marTop w:val="0"/>
      <w:marBottom w:val="0"/>
      <w:divBdr>
        <w:top w:val="none" w:sz="0" w:space="0" w:color="auto"/>
        <w:left w:val="none" w:sz="0" w:space="0" w:color="auto"/>
        <w:bottom w:val="none" w:sz="0" w:space="0" w:color="auto"/>
        <w:right w:val="none" w:sz="0" w:space="0" w:color="auto"/>
      </w:divBdr>
    </w:div>
    <w:div w:id="1225406654">
      <w:bodyDiv w:val="1"/>
      <w:marLeft w:val="0"/>
      <w:marRight w:val="0"/>
      <w:marTop w:val="0"/>
      <w:marBottom w:val="0"/>
      <w:divBdr>
        <w:top w:val="none" w:sz="0" w:space="0" w:color="auto"/>
        <w:left w:val="none" w:sz="0" w:space="0" w:color="auto"/>
        <w:bottom w:val="none" w:sz="0" w:space="0" w:color="auto"/>
        <w:right w:val="none" w:sz="0" w:space="0" w:color="auto"/>
      </w:divBdr>
    </w:div>
    <w:div w:id="1253122580">
      <w:bodyDiv w:val="1"/>
      <w:marLeft w:val="0"/>
      <w:marRight w:val="0"/>
      <w:marTop w:val="0"/>
      <w:marBottom w:val="0"/>
      <w:divBdr>
        <w:top w:val="none" w:sz="0" w:space="0" w:color="auto"/>
        <w:left w:val="none" w:sz="0" w:space="0" w:color="auto"/>
        <w:bottom w:val="none" w:sz="0" w:space="0" w:color="auto"/>
        <w:right w:val="none" w:sz="0" w:space="0" w:color="auto"/>
      </w:divBdr>
    </w:div>
    <w:div w:id="1260992160">
      <w:bodyDiv w:val="1"/>
      <w:marLeft w:val="0"/>
      <w:marRight w:val="0"/>
      <w:marTop w:val="0"/>
      <w:marBottom w:val="0"/>
      <w:divBdr>
        <w:top w:val="none" w:sz="0" w:space="0" w:color="auto"/>
        <w:left w:val="none" w:sz="0" w:space="0" w:color="auto"/>
        <w:bottom w:val="none" w:sz="0" w:space="0" w:color="auto"/>
        <w:right w:val="none" w:sz="0" w:space="0" w:color="auto"/>
      </w:divBdr>
    </w:div>
    <w:div w:id="1268539250">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71152065">
      <w:bodyDiv w:val="1"/>
      <w:marLeft w:val="0"/>
      <w:marRight w:val="0"/>
      <w:marTop w:val="0"/>
      <w:marBottom w:val="0"/>
      <w:divBdr>
        <w:top w:val="none" w:sz="0" w:space="0" w:color="auto"/>
        <w:left w:val="none" w:sz="0" w:space="0" w:color="auto"/>
        <w:bottom w:val="none" w:sz="0" w:space="0" w:color="auto"/>
        <w:right w:val="none" w:sz="0" w:space="0" w:color="auto"/>
      </w:divBdr>
    </w:div>
    <w:div w:id="1392457250">
      <w:bodyDiv w:val="1"/>
      <w:marLeft w:val="0"/>
      <w:marRight w:val="0"/>
      <w:marTop w:val="0"/>
      <w:marBottom w:val="0"/>
      <w:divBdr>
        <w:top w:val="none" w:sz="0" w:space="0" w:color="auto"/>
        <w:left w:val="none" w:sz="0" w:space="0" w:color="auto"/>
        <w:bottom w:val="none" w:sz="0" w:space="0" w:color="auto"/>
        <w:right w:val="none" w:sz="0" w:space="0" w:color="auto"/>
      </w:divBdr>
    </w:div>
    <w:div w:id="1414274087">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43306632">
      <w:bodyDiv w:val="1"/>
      <w:marLeft w:val="0"/>
      <w:marRight w:val="0"/>
      <w:marTop w:val="0"/>
      <w:marBottom w:val="0"/>
      <w:divBdr>
        <w:top w:val="none" w:sz="0" w:space="0" w:color="auto"/>
        <w:left w:val="none" w:sz="0" w:space="0" w:color="auto"/>
        <w:bottom w:val="none" w:sz="0" w:space="0" w:color="auto"/>
        <w:right w:val="none" w:sz="0" w:space="0" w:color="auto"/>
      </w:divBdr>
    </w:div>
    <w:div w:id="1520269952">
      <w:bodyDiv w:val="1"/>
      <w:marLeft w:val="0"/>
      <w:marRight w:val="0"/>
      <w:marTop w:val="0"/>
      <w:marBottom w:val="0"/>
      <w:divBdr>
        <w:top w:val="none" w:sz="0" w:space="0" w:color="auto"/>
        <w:left w:val="none" w:sz="0" w:space="0" w:color="auto"/>
        <w:bottom w:val="none" w:sz="0" w:space="0" w:color="auto"/>
        <w:right w:val="none" w:sz="0" w:space="0" w:color="auto"/>
      </w:divBdr>
    </w:div>
    <w:div w:id="1635451388">
      <w:bodyDiv w:val="1"/>
      <w:marLeft w:val="0"/>
      <w:marRight w:val="0"/>
      <w:marTop w:val="0"/>
      <w:marBottom w:val="0"/>
      <w:divBdr>
        <w:top w:val="none" w:sz="0" w:space="0" w:color="auto"/>
        <w:left w:val="none" w:sz="0" w:space="0" w:color="auto"/>
        <w:bottom w:val="none" w:sz="0" w:space="0" w:color="auto"/>
        <w:right w:val="none" w:sz="0" w:space="0" w:color="auto"/>
      </w:divBdr>
    </w:div>
    <w:div w:id="1646279485">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01122993">
      <w:bodyDiv w:val="1"/>
      <w:marLeft w:val="0"/>
      <w:marRight w:val="0"/>
      <w:marTop w:val="0"/>
      <w:marBottom w:val="0"/>
      <w:divBdr>
        <w:top w:val="none" w:sz="0" w:space="0" w:color="auto"/>
        <w:left w:val="none" w:sz="0" w:space="0" w:color="auto"/>
        <w:bottom w:val="none" w:sz="0" w:space="0" w:color="auto"/>
        <w:right w:val="none" w:sz="0" w:space="0" w:color="auto"/>
      </w:divBdr>
    </w:div>
    <w:div w:id="1714184651">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757902553">
      <w:bodyDiv w:val="1"/>
      <w:marLeft w:val="0"/>
      <w:marRight w:val="0"/>
      <w:marTop w:val="0"/>
      <w:marBottom w:val="0"/>
      <w:divBdr>
        <w:top w:val="none" w:sz="0" w:space="0" w:color="auto"/>
        <w:left w:val="none" w:sz="0" w:space="0" w:color="auto"/>
        <w:bottom w:val="none" w:sz="0" w:space="0" w:color="auto"/>
        <w:right w:val="none" w:sz="0" w:space="0" w:color="auto"/>
      </w:divBdr>
    </w:div>
    <w:div w:id="1803842504">
      <w:bodyDiv w:val="1"/>
      <w:marLeft w:val="0"/>
      <w:marRight w:val="0"/>
      <w:marTop w:val="0"/>
      <w:marBottom w:val="0"/>
      <w:divBdr>
        <w:top w:val="none" w:sz="0" w:space="0" w:color="auto"/>
        <w:left w:val="none" w:sz="0" w:space="0" w:color="auto"/>
        <w:bottom w:val="none" w:sz="0" w:space="0" w:color="auto"/>
        <w:right w:val="none" w:sz="0" w:space="0" w:color="auto"/>
      </w:divBdr>
    </w:div>
    <w:div w:id="1900088197">
      <w:bodyDiv w:val="1"/>
      <w:marLeft w:val="0"/>
      <w:marRight w:val="0"/>
      <w:marTop w:val="0"/>
      <w:marBottom w:val="0"/>
      <w:divBdr>
        <w:top w:val="none" w:sz="0" w:space="0" w:color="auto"/>
        <w:left w:val="none" w:sz="0" w:space="0" w:color="auto"/>
        <w:bottom w:val="none" w:sz="0" w:space="0" w:color="auto"/>
        <w:right w:val="none" w:sz="0" w:space="0" w:color="auto"/>
      </w:divBdr>
    </w:div>
    <w:div w:id="1979604037">
      <w:bodyDiv w:val="1"/>
      <w:marLeft w:val="0"/>
      <w:marRight w:val="0"/>
      <w:marTop w:val="0"/>
      <w:marBottom w:val="0"/>
      <w:divBdr>
        <w:top w:val="none" w:sz="0" w:space="0" w:color="auto"/>
        <w:left w:val="none" w:sz="0" w:space="0" w:color="auto"/>
        <w:bottom w:val="none" w:sz="0" w:space="0" w:color="auto"/>
        <w:right w:val="none" w:sz="0" w:space="0" w:color="auto"/>
      </w:divBdr>
    </w:div>
    <w:div w:id="2108109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3CE5A-E76F-4E8D-9837-AF4E0B11C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474</Words>
  <Characters>2276</Characters>
  <Application>Microsoft Office Word</Application>
  <DocSecurity>0</DocSecurity>
  <Lines>66</Lines>
  <Paragraphs>17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4</cp:revision>
  <dcterms:created xsi:type="dcterms:W3CDTF">2023-04-24T06:21:00Z</dcterms:created>
  <dcterms:modified xsi:type="dcterms:W3CDTF">2023-04-24T06:21:00Z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321f680cbc33e2fd2ad070d5efb2f0020c5ca67ffe9fd62cd992445ef66a7386</vt:lpwstr>
  </property>
</Properties>
</file>